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AC" w:rsidRPr="006E4161" w:rsidRDefault="00AA16AC" w:rsidP="00DC76E3">
      <w:pPr>
        <w:spacing w:after="0" w:line="240" w:lineRule="auto"/>
        <w:jc w:val="right"/>
        <w:rPr>
          <w:rFonts w:ascii="Arial" w:hAnsi="Arial" w:cs="Arial"/>
          <w:b/>
        </w:rPr>
      </w:pPr>
      <w:r w:rsidRPr="006E4161">
        <w:rPr>
          <w:rFonts w:ascii="Arial" w:hAnsi="Arial" w:cs="Arial"/>
          <w:b/>
        </w:rPr>
        <w:t>IEE/CG/A0</w:t>
      </w:r>
      <w:r w:rsidR="00D5447B">
        <w:rPr>
          <w:rFonts w:ascii="Arial" w:hAnsi="Arial" w:cs="Arial"/>
          <w:b/>
        </w:rPr>
        <w:t>29</w:t>
      </w:r>
      <w:r w:rsidRPr="006E4161">
        <w:rPr>
          <w:rFonts w:ascii="Arial" w:hAnsi="Arial" w:cs="Arial"/>
          <w:b/>
        </w:rPr>
        <w:t>/2019</w:t>
      </w:r>
    </w:p>
    <w:p w:rsidR="00DC76E3" w:rsidRDefault="00DC76E3" w:rsidP="00DC76E3">
      <w:pPr>
        <w:spacing w:after="0" w:line="240" w:lineRule="auto"/>
        <w:jc w:val="both"/>
        <w:rPr>
          <w:rFonts w:ascii="Arial" w:eastAsia="Calibri" w:hAnsi="Arial" w:cs="Arial"/>
          <w:b/>
        </w:rPr>
      </w:pPr>
    </w:p>
    <w:p w:rsidR="00AA16AC" w:rsidRPr="00305B05" w:rsidRDefault="00AA16AC" w:rsidP="00DC76E3">
      <w:pPr>
        <w:spacing w:after="0" w:line="240" w:lineRule="auto"/>
        <w:jc w:val="both"/>
        <w:rPr>
          <w:rFonts w:ascii="Arial" w:eastAsia="Calibri" w:hAnsi="Arial" w:cs="Arial"/>
          <w:b/>
        </w:rPr>
      </w:pPr>
      <w:bookmarkStart w:id="0" w:name="_GoBack"/>
      <w:r w:rsidRPr="00305B05">
        <w:rPr>
          <w:rFonts w:ascii="Arial" w:eastAsia="Calibri" w:hAnsi="Arial" w:cs="Arial"/>
          <w:b/>
        </w:rPr>
        <w:t>ACUERDO DEL CONSEJO GENERAL DEL INSTITUTO ELECTORAL DEL ESTADO DE COLIMA RELATIVO A</w:t>
      </w:r>
      <w:r w:rsidR="00180D6D">
        <w:rPr>
          <w:rFonts w:ascii="Arial" w:eastAsia="Calibri" w:hAnsi="Arial" w:cs="Arial"/>
          <w:b/>
        </w:rPr>
        <w:t xml:space="preserve"> </w:t>
      </w:r>
      <w:r w:rsidRPr="00305B05">
        <w:rPr>
          <w:rFonts w:ascii="Arial" w:eastAsia="Calibri" w:hAnsi="Arial" w:cs="Arial"/>
          <w:b/>
        </w:rPr>
        <w:t>L</w:t>
      </w:r>
      <w:r w:rsidR="00180D6D">
        <w:rPr>
          <w:rFonts w:ascii="Arial" w:eastAsia="Calibri" w:hAnsi="Arial" w:cs="Arial"/>
          <w:b/>
        </w:rPr>
        <w:t>A RENOVACIÓN DE LA PRESIDENCIA DE LA COMISIÓN DE DENUNCIAS Y QUEJAS.</w:t>
      </w:r>
    </w:p>
    <w:bookmarkEnd w:id="0"/>
    <w:p w:rsidR="00C86D4A" w:rsidRDefault="00C86D4A" w:rsidP="00DC76E3">
      <w:pPr>
        <w:spacing w:after="0" w:line="240" w:lineRule="auto"/>
      </w:pPr>
    </w:p>
    <w:p w:rsidR="00B574EC" w:rsidRDefault="00B574EC" w:rsidP="00DC76E3">
      <w:pPr>
        <w:spacing w:after="0" w:line="240" w:lineRule="auto"/>
        <w:jc w:val="center"/>
        <w:rPr>
          <w:rFonts w:ascii="Arial" w:eastAsia="Calibri" w:hAnsi="Arial" w:cs="Arial"/>
          <w:b/>
        </w:rPr>
      </w:pPr>
      <w:r w:rsidRPr="00B574EC">
        <w:rPr>
          <w:rFonts w:ascii="Arial" w:eastAsia="Calibri" w:hAnsi="Arial" w:cs="Arial"/>
          <w:b/>
        </w:rPr>
        <w:t>A N T E C E D E N T E S</w:t>
      </w:r>
    </w:p>
    <w:p w:rsidR="00D94158" w:rsidRDefault="00D94158" w:rsidP="00DC76E3">
      <w:pPr>
        <w:spacing w:after="0" w:line="240" w:lineRule="auto"/>
        <w:jc w:val="center"/>
        <w:rPr>
          <w:rFonts w:ascii="Arial" w:eastAsia="Calibri" w:hAnsi="Arial" w:cs="Arial"/>
          <w:b/>
        </w:rPr>
      </w:pPr>
    </w:p>
    <w:p w:rsidR="00922277" w:rsidRDefault="00051DC0" w:rsidP="00051DC0">
      <w:pPr>
        <w:pStyle w:val="Prrafodelista"/>
        <w:numPr>
          <w:ilvl w:val="0"/>
          <w:numId w:val="2"/>
        </w:numPr>
        <w:spacing w:after="0" w:line="360" w:lineRule="auto"/>
        <w:ind w:left="0" w:hanging="11"/>
        <w:jc w:val="both"/>
        <w:rPr>
          <w:rFonts w:ascii="Arial" w:eastAsia="Calibri" w:hAnsi="Arial" w:cs="Arial"/>
        </w:rPr>
      </w:pPr>
      <w:r>
        <w:rPr>
          <w:rFonts w:ascii="Arial" w:eastAsia="Calibri" w:hAnsi="Arial" w:cs="Arial"/>
        </w:rPr>
        <w:t>En</w:t>
      </w:r>
      <w:r w:rsidR="008324B5" w:rsidRPr="008324B5">
        <w:rPr>
          <w:rFonts w:ascii="Arial" w:eastAsia="Calibri" w:hAnsi="Arial" w:cs="Arial"/>
        </w:rPr>
        <w:t xml:space="preserve"> la Trigésima Octava Sesión Extraordinaria del Consejo General</w:t>
      </w:r>
      <w:r>
        <w:rPr>
          <w:rFonts w:ascii="Arial" w:eastAsia="Calibri" w:hAnsi="Arial" w:cs="Arial"/>
        </w:rPr>
        <w:t xml:space="preserve"> de este Instituto, correspondiente al</w:t>
      </w:r>
      <w:r w:rsidR="008324B5" w:rsidRPr="008324B5">
        <w:rPr>
          <w:rFonts w:ascii="Arial" w:eastAsia="Calibri" w:hAnsi="Arial" w:cs="Arial"/>
        </w:rPr>
        <w:t xml:space="preserve"> Periodo Interproceso 2015-2017, el día 09 de octubre del año 2017, mediante el Acuerdo número IEE/CG/A065/2017, se aprobó la nueva integración de las Comisiones Permanentes a que se refiere el artículo 4, fracción I, del Reglamento de Comisiones de este Instituto.</w:t>
      </w:r>
    </w:p>
    <w:p w:rsidR="00533496" w:rsidRPr="00533496" w:rsidRDefault="00533496" w:rsidP="00051DC0">
      <w:pPr>
        <w:pStyle w:val="Prrafodelista"/>
        <w:spacing w:after="0" w:line="360" w:lineRule="auto"/>
        <w:ind w:left="709"/>
        <w:jc w:val="both"/>
        <w:rPr>
          <w:rFonts w:ascii="Arial" w:eastAsia="Calibri" w:hAnsi="Arial" w:cs="Arial"/>
        </w:rPr>
      </w:pPr>
    </w:p>
    <w:p w:rsidR="00F6251B" w:rsidRPr="00F6251B" w:rsidRDefault="00F6251B" w:rsidP="00051DC0">
      <w:pPr>
        <w:pStyle w:val="Prrafodelista"/>
        <w:numPr>
          <w:ilvl w:val="0"/>
          <w:numId w:val="2"/>
        </w:numPr>
        <w:spacing w:after="0" w:line="360" w:lineRule="auto"/>
        <w:ind w:left="0" w:hanging="11"/>
        <w:jc w:val="both"/>
        <w:rPr>
          <w:rFonts w:ascii="Arial" w:eastAsia="Calibri" w:hAnsi="Arial" w:cs="Arial"/>
        </w:rPr>
      </w:pPr>
      <w:r>
        <w:rPr>
          <w:rFonts w:ascii="Arial" w:eastAsia="Calibri" w:hAnsi="Arial" w:cs="Arial"/>
        </w:rPr>
        <w:t xml:space="preserve">Mediante Acuerdo IEE/CG/A048/2018, </w:t>
      </w:r>
      <w:r w:rsidRPr="00F6251B">
        <w:rPr>
          <w:rFonts w:ascii="Arial" w:eastAsia="Calibri" w:hAnsi="Arial" w:cs="Arial"/>
        </w:rPr>
        <w:t>aprobado en la Décima Primera Sesión Ordinaria del Proceso Electoral Local 2017-2018 del Consejo General, celebrada el 09 de marzo de 2018</w:t>
      </w:r>
      <w:r>
        <w:rPr>
          <w:rFonts w:ascii="Arial" w:eastAsia="Calibri" w:hAnsi="Arial" w:cs="Arial"/>
        </w:rPr>
        <w:t xml:space="preserve">, se determinó el </w:t>
      </w:r>
      <w:r w:rsidRPr="00F6251B">
        <w:rPr>
          <w:rFonts w:ascii="Arial" w:eastAsia="Calibri" w:hAnsi="Arial" w:cs="Arial"/>
        </w:rPr>
        <w:t xml:space="preserve">orden de prelación que deberá considerarse en caso de ausencia de cualquiera de sus integrantes, para conformar la </w:t>
      </w:r>
      <w:r>
        <w:rPr>
          <w:rFonts w:ascii="Arial" w:eastAsia="Calibri" w:hAnsi="Arial" w:cs="Arial"/>
        </w:rPr>
        <w:t>C</w:t>
      </w:r>
      <w:r w:rsidRPr="00F6251B">
        <w:rPr>
          <w:rFonts w:ascii="Arial" w:eastAsia="Calibri" w:hAnsi="Arial" w:cs="Arial"/>
        </w:rPr>
        <w:t xml:space="preserve">omisión permanente de </w:t>
      </w:r>
      <w:r>
        <w:rPr>
          <w:rFonts w:ascii="Arial" w:eastAsia="Calibri" w:hAnsi="Arial" w:cs="Arial"/>
        </w:rPr>
        <w:t>D</w:t>
      </w:r>
      <w:r w:rsidRPr="00F6251B">
        <w:rPr>
          <w:rFonts w:ascii="Arial" w:eastAsia="Calibri" w:hAnsi="Arial" w:cs="Arial"/>
        </w:rPr>
        <w:t xml:space="preserve">enuncias y </w:t>
      </w:r>
      <w:r>
        <w:rPr>
          <w:rFonts w:ascii="Arial" w:eastAsia="Calibri" w:hAnsi="Arial" w:cs="Arial"/>
        </w:rPr>
        <w:t>Q</w:t>
      </w:r>
      <w:r w:rsidRPr="00F6251B">
        <w:rPr>
          <w:rFonts w:ascii="Arial" w:eastAsia="Calibri" w:hAnsi="Arial" w:cs="Arial"/>
        </w:rPr>
        <w:t>uejas</w:t>
      </w:r>
      <w:r>
        <w:rPr>
          <w:rFonts w:ascii="Arial" w:eastAsia="Calibri" w:hAnsi="Arial" w:cs="Arial"/>
        </w:rPr>
        <w:t>.</w:t>
      </w:r>
    </w:p>
    <w:p w:rsidR="00F6251B" w:rsidRPr="00F6251B" w:rsidRDefault="00F6251B" w:rsidP="00F6251B">
      <w:pPr>
        <w:pStyle w:val="Prrafodelista"/>
        <w:rPr>
          <w:rFonts w:ascii="Arial" w:eastAsia="Times New Roman" w:hAnsi="Arial" w:cs="Arial"/>
          <w:lang w:val="es-ES" w:eastAsia="es-ES"/>
        </w:rPr>
      </w:pPr>
    </w:p>
    <w:p w:rsidR="00B574EC" w:rsidRDefault="00051DC0" w:rsidP="00051DC0">
      <w:pPr>
        <w:pStyle w:val="Prrafodelista"/>
        <w:numPr>
          <w:ilvl w:val="0"/>
          <w:numId w:val="2"/>
        </w:numPr>
        <w:spacing w:after="0" w:line="360" w:lineRule="auto"/>
        <w:ind w:left="0" w:hanging="11"/>
        <w:jc w:val="both"/>
        <w:rPr>
          <w:rFonts w:ascii="Arial" w:eastAsia="Calibri" w:hAnsi="Arial" w:cs="Arial"/>
        </w:rPr>
      </w:pPr>
      <w:r w:rsidRPr="00051DC0">
        <w:rPr>
          <w:rFonts w:ascii="Arial" w:eastAsia="Times New Roman" w:hAnsi="Arial" w:cs="Arial"/>
          <w:lang w:val="es-ES" w:eastAsia="es-ES"/>
        </w:rPr>
        <w:t>En el desarrollo de la Décima Primera Sesión Extraordinaria de este Consejo, celebrada el 09 de mayo de 2019, entre otras cosas se aprobó</w:t>
      </w:r>
      <w:r w:rsidR="00E44384">
        <w:rPr>
          <w:rFonts w:ascii="Arial" w:eastAsia="Times New Roman" w:hAnsi="Arial" w:cs="Arial"/>
          <w:lang w:val="es-ES" w:eastAsia="es-ES"/>
        </w:rPr>
        <w:t>, mediante Acuerdo IEE/CG/A021/2019,</w:t>
      </w:r>
      <w:r w:rsidRPr="00051DC0">
        <w:rPr>
          <w:rFonts w:ascii="Arial" w:eastAsia="Times New Roman" w:hAnsi="Arial" w:cs="Arial"/>
          <w:lang w:val="es-ES" w:eastAsia="es-ES"/>
        </w:rPr>
        <w:t xml:space="preserve"> la creación del “</w:t>
      </w:r>
      <w:r w:rsidRPr="00051DC0">
        <w:rPr>
          <w:rFonts w:ascii="Arial" w:eastAsia="Times New Roman" w:hAnsi="Arial" w:cs="Arial"/>
          <w:i/>
          <w:lang w:val="es-ES" w:eastAsia="es-ES"/>
        </w:rPr>
        <w:t>Reglamento del Presupuesto, Aplicación del Egreso y Contabilidad del Instituto Electoral del Estado de Colima</w:t>
      </w:r>
      <w:r w:rsidRPr="00051DC0">
        <w:rPr>
          <w:rFonts w:ascii="Arial" w:eastAsia="Times New Roman" w:hAnsi="Arial" w:cs="Arial"/>
          <w:lang w:val="es-ES" w:eastAsia="es-ES"/>
        </w:rPr>
        <w:t>”, mediante el cual se determinó instaurar la figura del Órgano Interno de Control para este Instituto, a efecto de armonizar el marco normativo interno de este organismo electoral conforme a la legislación prevista en materia de</w:t>
      </w:r>
      <w:r w:rsidRPr="00051DC0">
        <w:rPr>
          <w:rFonts w:ascii="Times New Roman" w:eastAsia="Times New Roman" w:hAnsi="Times New Roman" w:cs="Times New Roman"/>
          <w:sz w:val="24"/>
          <w:szCs w:val="24"/>
          <w:lang w:val="es-ES" w:eastAsia="es-ES"/>
        </w:rPr>
        <w:t xml:space="preserve"> </w:t>
      </w:r>
      <w:r w:rsidRPr="00051DC0">
        <w:rPr>
          <w:rFonts w:ascii="Arial" w:eastAsia="Times New Roman" w:hAnsi="Arial" w:cs="Arial"/>
          <w:lang w:val="es-ES" w:eastAsia="es-ES"/>
        </w:rPr>
        <w:t>Fiscalización Superior y Rendición de Cuentas, así como de Presupuesto y Responsabilidad Hacendaria</w:t>
      </w:r>
      <w:r w:rsidR="00926494" w:rsidRPr="008324B5">
        <w:rPr>
          <w:rFonts w:ascii="Arial" w:eastAsia="Calibri" w:hAnsi="Arial" w:cs="Arial"/>
        </w:rPr>
        <w:t>.</w:t>
      </w:r>
    </w:p>
    <w:p w:rsidR="008324B5" w:rsidRPr="008324B5" w:rsidRDefault="008324B5" w:rsidP="00051DC0">
      <w:pPr>
        <w:pStyle w:val="Prrafodelista"/>
        <w:spacing w:after="0" w:line="360" w:lineRule="auto"/>
        <w:ind w:left="0" w:hanging="11"/>
        <w:rPr>
          <w:rFonts w:ascii="Arial" w:eastAsia="Calibri" w:hAnsi="Arial" w:cs="Arial"/>
        </w:rPr>
      </w:pPr>
    </w:p>
    <w:p w:rsidR="00E8293F" w:rsidRDefault="00E44384" w:rsidP="00116BE3">
      <w:pPr>
        <w:pStyle w:val="Prrafodelista"/>
        <w:numPr>
          <w:ilvl w:val="0"/>
          <w:numId w:val="2"/>
        </w:numPr>
        <w:spacing w:after="0" w:line="360" w:lineRule="auto"/>
        <w:ind w:left="0" w:hanging="11"/>
        <w:jc w:val="both"/>
        <w:rPr>
          <w:rFonts w:ascii="Arial" w:eastAsia="Calibri" w:hAnsi="Arial" w:cs="Arial"/>
        </w:rPr>
      </w:pPr>
      <w:r>
        <w:rPr>
          <w:rFonts w:ascii="Arial" w:eastAsia="Calibri" w:hAnsi="Arial" w:cs="Arial"/>
        </w:rPr>
        <w:t>Adicionalmente, en la Sesión a que se refiere el Antecedente inmediato anterior</w:t>
      </w:r>
      <w:r w:rsidR="00116BE3">
        <w:rPr>
          <w:rFonts w:ascii="Arial" w:eastAsia="Calibri" w:hAnsi="Arial" w:cs="Arial"/>
        </w:rPr>
        <w:t>, se aprobaron los</w:t>
      </w:r>
      <w:r w:rsidRPr="00E44384">
        <w:rPr>
          <w:rFonts w:ascii="Arial" w:eastAsia="Calibri" w:hAnsi="Arial" w:cs="Arial"/>
        </w:rPr>
        <w:t xml:space="preserve"> Acuerdo</w:t>
      </w:r>
      <w:r w:rsidR="00116BE3">
        <w:rPr>
          <w:rFonts w:ascii="Arial" w:eastAsia="Calibri" w:hAnsi="Arial" w:cs="Arial"/>
        </w:rPr>
        <w:t>s</w:t>
      </w:r>
      <w:r w:rsidRPr="00E44384">
        <w:rPr>
          <w:rFonts w:ascii="Arial" w:eastAsia="Calibri" w:hAnsi="Arial" w:cs="Arial"/>
        </w:rPr>
        <w:t xml:space="preserve"> </w:t>
      </w:r>
      <w:r w:rsidR="00116BE3" w:rsidRPr="00116BE3">
        <w:rPr>
          <w:rFonts w:ascii="Arial" w:hAnsi="Arial" w:cs="Arial"/>
        </w:rPr>
        <w:t>IEE/CG/A022/2019</w:t>
      </w:r>
      <w:r w:rsidR="00116BE3">
        <w:rPr>
          <w:rFonts w:ascii="Arial" w:hAnsi="Arial" w:cs="Arial"/>
        </w:rPr>
        <w:t xml:space="preserve"> e</w:t>
      </w:r>
      <w:r w:rsidR="00116BE3" w:rsidRPr="00116BE3">
        <w:rPr>
          <w:rFonts w:ascii="Arial" w:eastAsia="Calibri" w:hAnsi="Arial" w:cs="Arial"/>
        </w:rPr>
        <w:t xml:space="preserve"> IEE/CG/A023/2019</w:t>
      </w:r>
      <w:r w:rsidR="00116BE3" w:rsidRPr="00116BE3">
        <w:rPr>
          <w:rFonts w:ascii="Arial" w:hAnsi="Arial" w:cs="Arial"/>
        </w:rPr>
        <w:t xml:space="preserve">, </w:t>
      </w:r>
      <w:r w:rsidR="00116BE3">
        <w:rPr>
          <w:rFonts w:ascii="Arial" w:hAnsi="Arial" w:cs="Arial"/>
        </w:rPr>
        <w:t xml:space="preserve">mediante los cuales </w:t>
      </w:r>
      <w:r w:rsidR="00116BE3" w:rsidRPr="00116BE3">
        <w:rPr>
          <w:rFonts w:ascii="Arial" w:hAnsi="Arial" w:cs="Arial"/>
        </w:rPr>
        <w:t>se reformaron y adicionaron diversos artículos de</w:t>
      </w:r>
      <w:r w:rsidR="00116BE3">
        <w:rPr>
          <w:rFonts w:ascii="Arial" w:hAnsi="Arial" w:cs="Arial"/>
        </w:rPr>
        <w:t>l</w:t>
      </w:r>
      <w:r w:rsidR="00116BE3" w:rsidRPr="00116BE3">
        <w:rPr>
          <w:rFonts w:ascii="Arial" w:hAnsi="Arial" w:cs="Arial"/>
        </w:rPr>
        <w:t xml:space="preserve"> Reglamento Interior del Instituto Electoral del Estado de Colima</w:t>
      </w:r>
      <w:r w:rsidR="00116BE3">
        <w:rPr>
          <w:rFonts w:ascii="Arial" w:hAnsi="Arial" w:cs="Arial"/>
        </w:rPr>
        <w:t xml:space="preserve">, así como del </w:t>
      </w:r>
      <w:r w:rsidR="00116BE3" w:rsidRPr="00116BE3">
        <w:rPr>
          <w:rFonts w:ascii="Arial" w:eastAsia="Calibri" w:hAnsi="Arial" w:cs="Arial"/>
        </w:rPr>
        <w:t>Reglamento de Comisiones de</w:t>
      </w:r>
      <w:r w:rsidR="00116BE3">
        <w:rPr>
          <w:rFonts w:ascii="Arial" w:eastAsia="Calibri" w:hAnsi="Arial" w:cs="Arial"/>
        </w:rPr>
        <w:t xml:space="preserve"> este</w:t>
      </w:r>
      <w:r w:rsidR="00116BE3" w:rsidRPr="00116BE3">
        <w:rPr>
          <w:rFonts w:ascii="Arial" w:eastAsia="Calibri" w:hAnsi="Arial" w:cs="Arial"/>
        </w:rPr>
        <w:t xml:space="preserve"> Consejo General</w:t>
      </w:r>
      <w:r w:rsidR="00116BE3" w:rsidRPr="00116BE3">
        <w:rPr>
          <w:rFonts w:ascii="Arial" w:hAnsi="Arial" w:cs="Arial"/>
        </w:rPr>
        <w:t xml:space="preserve">, </w:t>
      </w:r>
      <w:r w:rsidR="00116BE3" w:rsidRPr="00116BE3">
        <w:rPr>
          <w:rFonts w:ascii="Arial" w:eastAsia="Calibri" w:hAnsi="Arial" w:cs="Arial"/>
        </w:rPr>
        <w:t xml:space="preserve">para modificar, eliminar o adicionar porciones normativas conformes a la creación del Órgano Interno de Control del Instituto, la que a su vez trajo aparejada la eliminación de la </w:t>
      </w:r>
      <w:r w:rsidR="00116BE3" w:rsidRPr="00116BE3">
        <w:rPr>
          <w:rFonts w:ascii="Arial" w:eastAsia="Calibri" w:hAnsi="Arial" w:cs="Arial"/>
        </w:rPr>
        <w:lastRenderedPageBreak/>
        <w:t>Comisión de Fiscalización y de sus funciones, en virtud de la duplicidad de las mismas entre ambos órganos.</w:t>
      </w:r>
    </w:p>
    <w:p w:rsidR="00E8293F" w:rsidRPr="00E8293F" w:rsidRDefault="00E8293F" w:rsidP="00E8293F">
      <w:pPr>
        <w:pStyle w:val="Prrafodelista"/>
        <w:rPr>
          <w:rFonts w:ascii="Arial" w:hAnsi="Arial" w:cs="Arial"/>
        </w:rPr>
      </w:pPr>
    </w:p>
    <w:p w:rsidR="00116BE3" w:rsidRPr="00116BE3" w:rsidRDefault="00E8293F" w:rsidP="00E8293F">
      <w:pPr>
        <w:pStyle w:val="Prrafodelista"/>
        <w:spacing w:after="0" w:line="360" w:lineRule="auto"/>
        <w:ind w:left="0"/>
        <w:jc w:val="both"/>
        <w:rPr>
          <w:rFonts w:ascii="Arial" w:eastAsia="Calibri" w:hAnsi="Arial" w:cs="Arial"/>
        </w:rPr>
      </w:pPr>
      <w:r>
        <w:rPr>
          <w:rFonts w:ascii="Arial" w:hAnsi="Arial" w:cs="Arial"/>
        </w:rPr>
        <w:t>Al respecto, cabe señalar que en el artículo</w:t>
      </w:r>
      <w:r w:rsidR="00116BE3" w:rsidRPr="00116BE3">
        <w:rPr>
          <w:rFonts w:ascii="Arial" w:hAnsi="Arial" w:cs="Arial"/>
        </w:rPr>
        <w:t xml:space="preserve"> Transitorio Segundo</w:t>
      </w:r>
      <w:r>
        <w:rPr>
          <w:rFonts w:ascii="Arial" w:hAnsi="Arial" w:cs="Arial"/>
        </w:rPr>
        <w:t xml:space="preserve"> del primer reglamento mencionado, se</w:t>
      </w:r>
      <w:r w:rsidR="00116BE3" w:rsidRPr="00116BE3">
        <w:rPr>
          <w:rFonts w:ascii="Arial" w:hAnsi="Arial" w:cs="Arial"/>
        </w:rPr>
        <w:t xml:space="preserve"> establece que </w:t>
      </w:r>
      <w:r w:rsidR="00116BE3" w:rsidRPr="00116BE3">
        <w:rPr>
          <w:rFonts w:ascii="Arial" w:hAnsi="Arial" w:cs="Arial"/>
          <w:i/>
        </w:rPr>
        <w:t>“D</w:t>
      </w:r>
      <w:r w:rsidR="00116BE3" w:rsidRPr="00116BE3">
        <w:rPr>
          <w:rFonts w:ascii="Arial" w:eastAsia="Arial" w:hAnsi="Arial" w:cs="Arial"/>
          <w:i/>
        </w:rPr>
        <w:t>erivado del proceso de transición, la Comisión de Fiscalización del Consejo General de este Instituto, continuará subsistente hasta en tanto entre en funciones el Órgano Interno de Control.”</w:t>
      </w:r>
    </w:p>
    <w:p w:rsidR="00051DC0" w:rsidRPr="00051DC0" w:rsidRDefault="00051DC0" w:rsidP="00051DC0">
      <w:pPr>
        <w:pStyle w:val="Prrafodelista"/>
        <w:spacing w:after="0" w:line="360" w:lineRule="auto"/>
        <w:rPr>
          <w:rFonts w:ascii="Arial" w:eastAsia="Calibri" w:hAnsi="Arial" w:cs="Arial"/>
        </w:rPr>
      </w:pPr>
    </w:p>
    <w:p w:rsidR="00051DC0" w:rsidRDefault="00051DC0" w:rsidP="00051DC0">
      <w:pPr>
        <w:pStyle w:val="Prrafodelista"/>
        <w:numPr>
          <w:ilvl w:val="0"/>
          <w:numId w:val="2"/>
        </w:numPr>
        <w:spacing w:after="0" w:line="360" w:lineRule="auto"/>
        <w:ind w:left="0" w:hanging="11"/>
        <w:jc w:val="both"/>
        <w:rPr>
          <w:rFonts w:ascii="Arial" w:eastAsia="Calibri" w:hAnsi="Arial" w:cs="Arial"/>
        </w:rPr>
      </w:pPr>
      <w:r>
        <w:rPr>
          <w:rFonts w:ascii="Arial" w:eastAsia="Calibri" w:hAnsi="Arial" w:cs="Arial"/>
        </w:rPr>
        <w:t xml:space="preserve">Con fecha </w:t>
      </w:r>
      <w:r w:rsidRPr="00051DC0">
        <w:rPr>
          <w:rFonts w:ascii="Arial" w:eastAsia="Calibri" w:hAnsi="Arial" w:cs="Arial"/>
        </w:rPr>
        <w:t>27 de mayo del año 2019</w:t>
      </w:r>
      <w:r>
        <w:rPr>
          <w:rFonts w:ascii="Arial" w:eastAsia="Calibri" w:hAnsi="Arial" w:cs="Arial"/>
        </w:rPr>
        <w:t xml:space="preserve">, </w:t>
      </w:r>
      <w:r w:rsidRPr="00051DC0">
        <w:rPr>
          <w:rFonts w:ascii="Arial" w:eastAsia="Calibri" w:hAnsi="Arial" w:cs="Arial"/>
        </w:rPr>
        <w:t>en la Décima Segunda Sesión Extraordinaria del Pe</w:t>
      </w:r>
      <w:r>
        <w:rPr>
          <w:rFonts w:ascii="Arial" w:eastAsia="Calibri" w:hAnsi="Arial" w:cs="Arial"/>
        </w:rPr>
        <w:t>riodo Interproceso 2018-2020 de este</w:t>
      </w:r>
      <w:r w:rsidRPr="00051DC0">
        <w:rPr>
          <w:rFonts w:ascii="Arial" w:eastAsia="Calibri" w:hAnsi="Arial" w:cs="Arial"/>
        </w:rPr>
        <w:t xml:space="preserve"> Consejo General</w:t>
      </w:r>
      <w:r>
        <w:rPr>
          <w:rFonts w:ascii="Arial" w:eastAsia="Calibri" w:hAnsi="Arial" w:cs="Arial"/>
        </w:rPr>
        <w:t xml:space="preserve">, se aprobó el Acuerdo identificado con la clave y número IEE/CG/A028/2019, mediante al cual se efectuó </w:t>
      </w:r>
      <w:r w:rsidRPr="00051DC0">
        <w:rPr>
          <w:rFonts w:ascii="Arial" w:eastAsia="Calibri" w:hAnsi="Arial" w:cs="Arial"/>
        </w:rPr>
        <w:t xml:space="preserve">la designación del C. </w:t>
      </w:r>
      <w:r w:rsidRPr="00051DC0">
        <w:rPr>
          <w:rFonts w:ascii="Arial" w:eastAsia="Calibri" w:hAnsi="Arial" w:cs="Arial"/>
          <w:lang w:val="es-ES"/>
        </w:rPr>
        <w:t>Carlos Arnoldo Campos Ochoa</w:t>
      </w:r>
      <w:r w:rsidRPr="00051DC0">
        <w:rPr>
          <w:rFonts w:ascii="Arial" w:eastAsia="Calibri" w:hAnsi="Arial" w:cs="Arial"/>
        </w:rPr>
        <w:t xml:space="preserve"> como titular del Órgano Interno de Control de este Organismo Electoral, en el puesto de Contralor Interno del Instituto Electoral del Estado de Colima</w:t>
      </w:r>
      <w:r>
        <w:rPr>
          <w:rFonts w:ascii="Arial" w:eastAsia="Calibri" w:hAnsi="Arial" w:cs="Arial"/>
        </w:rPr>
        <w:t>.</w:t>
      </w:r>
    </w:p>
    <w:p w:rsidR="00051DC0" w:rsidRPr="00051DC0" w:rsidRDefault="00051DC0" w:rsidP="00051DC0">
      <w:pPr>
        <w:pStyle w:val="Prrafodelista"/>
        <w:spacing w:after="0" w:line="360" w:lineRule="auto"/>
        <w:rPr>
          <w:rFonts w:ascii="Arial" w:eastAsia="Calibri" w:hAnsi="Arial" w:cs="Arial"/>
        </w:rPr>
      </w:pPr>
    </w:p>
    <w:p w:rsidR="008324B5" w:rsidRPr="00051DC0" w:rsidRDefault="00051DC0" w:rsidP="00051DC0">
      <w:pPr>
        <w:pStyle w:val="Prrafodelista"/>
        <w:spacing w:after="0" w:line="360" w:lineRule="auto"/>
        <w:ind w:left="0"/>
        <w:jc w:val="both"/>
        <w:rPr>
          <w:rFonts w:ascii="Arial" w:eastAsia="Calibri" w:hAnsi="Arial" w:cs="Arial"/>
        </w:rPr>
      </w:pPr>
      <w:r>
        <w:rPr>
          <w:rFonts w:ascii="Arial" w:eastAsia="Calibri" w:hAnsi="Arial" w:cs="Arial"/>
        </w:rPr>
        <w:t>Asimismo, en el desarrollo de esa misma Sesión, el referido ciudadano rindió la Protesta de Ley a dicho cargo, surtiendo efecto inmediato su nombramiento.</w:t>
      </w:r>
    </w:p>
    <w:p w:rsidR="00DF520D" w:rsidRDefault="00DF520D" w:rsidP="00051DC0">
      <w:pPr>
        <w:spacing w:after="0" w:line="360" w:lineRule="auto"/>
        <w:jc w:val="both"/>
        <w:rPr>
          <w:rFonts w:ascii="Arial" w:hAnsi="Arial" w:cs="Arial"/>
        </w:rPr>
      </w:pPr>
    </w:p>
    <w:p w:rsidR="008324B5" w:rsidRDefault="008324B5" w:rsidP="00051DC0">
      <w:pPr>
        <w:spacing w:after="0" w:line="360" w:lineRule="auto"/>
        <w:jc w:val="both"/>
        <w:rPr>
          <w:rFonts w:ascii="Arial" w:hAnsi="Arial" w:cs="Arial"/>
        </w:rPr>
      </w:pPr>
      <w:r>
        <w:rPr>
          <w:rFonts w:ascii="Arial" w:hAnsi="Arial" w:cs="Arial"/>
        </w:rPr>
        <w:t>Con base a lo anterior, se emiten las siguientes</w:t>
      </w:r>
    </w:p>
    <w:p w:rsidR="008324B5" w:rsidRPr="008324B5" w:rsidRDefault="008324B5" w:rsidP="008324B5">
      <w:pPr>
        <w:spacing w:after="0" w:line="360" w:lineRule="auto"/>
        <w:jc w:val="both"/>
        <w:rPr>
          <w:rFonts w:ascii="Arial" w:hAnsi="Arial" w:cs="Arial"/>
        </w:rPr>
      </w:pPr>
    </w:p>
    <w:p w:rsidR="008324B5" w:rsidRDefault="008324B5" w:rsidP="00C91BDE">
      <w:pPr>
        <w:spacing w:after="0" w:line="360" w:lineRule="auto"/>
        <w:jc w:val="center"/>
        <w:rPr>
          <w:rFonts w:ascii="Arial" w:eastAsia="Calibri" w:hAnsi="Arial" w:cs="Arial"/>
          <w:b/>
        </w:rPr>
      </w:pPr>
      <w:r>
        <w:rPr>
          <w:rFonts w:ascii="Arial" w:eastAsia="Calibri" w:hAnsi="Arial" w:cs="Arial"/>
          <w:b/>
        </w:rPr>
        <w:t>C O N S I D E R A C I O N E S:</w:t>
      </w:r>
    </w:p>
    <w:p w:rsidR="00C91BDE" w:rsidRDefault="00C91BDE" w:rsidP="00C91BDE">
      <w:pPr>
        <w:spacing w:after="0" w:line="360" w:lineRule="auto"/>
        <w:jc w:val="center"/>
        <w:rPr>
          <w:rFonts w:ascii="Arial" w:eastAsia="Calibri" w:hAnsi="Arial" w:cs="Arial"/>
          <w:b/>
        </w:rPr>
      </w:pPr>
    </w:p>
    <w:p w:rsidR="00DF520D" w:rsidRPr="00DF520D" w:rsidRDefault="00DF520D" w:rsidP="00C91BDE">
      <w:pPr>
        <w:autoSpaceDE w:val="0"/>
        <w:autoSpaceDN w:val="0"/>
        <w:adjustRightInd w:val="0"/>
        <w:spacing w:after="0" w:line="360" w:lineRule="auto"/>
        <w:jc w:val="both"/>
        <w:rPr>
          <w:rFonts w:ascii="Arial" w:eastAsia="Calibri" w:hAnsi="Arial" w:cs="Arial"/>
          <w:b/>
          <w:color w:val="000000"/>
        </w:rPr>
      </w:pPr>
      <w:r w:rsidRPr="00DF520D">
        <w:rPr>
          <w:rFonts w:ascii="Arial" w:eastAsia="Calibri" w:hAnsi="Arial" w:cs="Arial"/>
          <w:b/>
          <w:color w:val="000000"/>
        </w:rPr>
        <w:t xml:space="preserve">1ª.- </w:t>
      </w:r>
      <w:r w:rsidRPr="00DF520D">
        <w:rPr>
          <w:rFonts w:ascii="Arial" w:eastAsia="Calibri" w:hAnsi="Arial" w:cs="Arial"/>
          <w:color w:val="000000"/>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DF520D" w:rsidRPr="00DF520D" w:rsidRDefault="00DF520D" w:rsidP="00DF520D">
      <w:pPr>
        <w:autoSpaceDE w:val="0"/>
        <w:autoSpaceDN w:val="0"/>
        <w:adjustRightInd w:val="0"/>
        <w:spacing w:after="0" w:line="360" w:lineRule="auto"/>
        <w:jc w:val="both"/>
        <w:rPr>
          <w:rFonts w:ascii="Arial" w:eastAsia="Calibri" w:hAnsi="Arial" w:cs="Arial"/>
          <w:b/>
          <w:color w:val="000000"/>
        </w:rPr>
      </w:pPr>
    </w:p>
    <w:p w:rsidR="00DF520D" w:rsidRPr="00DF520D" w:rsidRDefault="00DF520D" w:rsidP="00DF520D">
      <w:pPr>
        <w:autoSpaceDE w:val="0"/>
        <w:autoSpaceDN w:val="0"/>
        <w:adjustRightInd w:val="0"/>
        <w:spacing w:after="0" w:line="360" w:lineRule="auto"/>
        <w:jc w:val="both"/>
        <w:rPr>
          <w:rFonts w:ascii="Arial" w:eastAsia="Arial" w:hAnsi="Arial" w:cs="Arial"/>
          <w:color w:val="000000"/>
        </w:rPr>
      </w:pPr>
      <w:r w:rsidRPr="00DF520D">
        <w:rPr>
          <w:rFonts w:ascii="Arial" w:eastAsia="Arial" w:hAnsi="Arial" w:cs="Arial"/>
          <w:b/>
          <w:color w:val="000000"/>
        </w:rPr>
        <w:t xml:space="preserve">2ª.- </w:t>
      </w:r>
      <w:r w:rsidRPr="00DF520D">
        <w:rPr>
          <w:rFonts w:ascii="Arial" w:eastAsia="Calibri" w:hAnsi="Arial" w:cs="Arial"/>
          <w:color w:val="000000"/>
        </w:rPr>
        <w:t>L</w:t>
      </w:r>
      <w:r w:rsidRPr="00DF520D">
        <w:rPr>
          <w:rFonts w:ascii="Arial" w:eastAsia="Arial" w:hAnsi="Arial" w:cs="Arial"/>
          <w:color w:val="000000"/>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w:t>
      </w:r>
      <w:r w:rsidRPr="00DF520D">
        <w:rPr>
          <w:rFonts w:ascii="Arial" w:eastAsia="Arial" w:hAnsi="Arial" w:cs="Arial"/>
          <w:color w:val="000000"/>
        </w:rPr>
        <w:lastRenderedPageBreak/>
        <w:t xml:space="preserve">que ejercerán todas aquéllas funciones no reservadas al Instituto Nacional Electoral (INE) y las que determine la ley. </w:t>
      </w:r>
    </w:p>
    <w:p w:rsidR="00DF520D" w:rsidRPr="00DF520D" w:rsidRDefault="00DF520D" w:rsidP="00DF520D">
      <w:pPr>
        <w:autoSpaceDE w:val="0"/>
        <w:autoSpaceDN w:val="0"/>
        <w:adjustRightInd w:val="0"/>
        <w:spacing w:after="0" w:line="360" w:lineRule="auto"/>
        <w:jc w:val="both"/>
        <w:rPr>
          <w:rFonts w:ascii="Arial" w:eastAsia="Arial" w:hAnsi="Arial" w:cs="Arial"/>
          <w:color w:val="000000"/>
        </w:rPr>
      </w:pPr>
    </w:p>
    <w:p w:rsidR="00DF520D" w:rsidRPr="00DF520D" w:rsidRDefault="00DF520D" w:rsidP="00DF520D">
      <w:pPr>
        <w:autoSpaceDE w:val="0"/>
        <w:autoSpaceDN w:val="0"/>
        <w:adjustRightInd w:val="0"/>
        <w:spacing w:after="0" w:line="360" w:lineRule="auto"/>
        <w:jc w:val="both"/>
        <w:rPr>
          <w:rFonts w:ascii="Arial" w:eastAsia="Arial" w:hAnsi="Arial" w:cs="Arial"/>
          <w:color w:val="000000"/>
        </w:rPr>
      </w:pPr>
      <w:r w:rsidRPr="00DF520D">
        <w:rPr>
          <w:rFonts w:ascii="Arial" w:eastAsia="Arial" w:hAnsi="Arial" w:cs="Arial"/>
          <w:b/>
          <w:color w:val="000000"/>
        </w:rPr>
        <w:t xml:space="preserve">3ª.- </w:t>
      </w:r>
      <w:r w:rsidRPr="00DF520D">
        <w:rPr>
          <w:rFonts w:ascii="Arial" w:eastAsia="Arial" w:hAnsi="Arial" w:cs="Arial"/>
          <w:color w:val="000000"/>
        </w:rPr>
        <w:t>De conformidad a lo expuesto en el numeral 2 del artículo 98, de la Ley General de Instituciones y Procedimientos Electorales (LGIPE), los Organismos Públicos Locales son autoridad en la materia electoral, en los términos que establece la Constitución Federal, dicha Ley General y las leyes locales correspondientes.</w:t>
      </w:r>
    </w:p>
    <w:p w:rsidR="00DF520D" w:rsidRPr="00DF520D" w:rsidRDefault="00DF520D" w:rsidP="00DF520D">
      <w:pPr>
        <w:autoSpaceDE w:val="0"/>
        <w:autoSpaceDN w:val="0"/>
        <w:adjustRightInd w:val="0"/>
        <w:spacing w:after="0" w:line="360" w:lineRule="auto"/>
        <w:jc w:val="both"/>
        <w:rPr>
          <w:rFonts w:ascii="Arial" w:eastAsia="Calibri" w:hAnsi="Arial" w:cs="Arial"/>
          <w:color w:val="000000"/>
          <w:shd w:val="clear" w:color="auto" w:fill="FFFFFF"/>
        </w:rPr>
      </w:pPr>
    </w:p>
    <w:p w:rsidR="00DF520D" w:rsidRPr="00DF520D" w:rsidRDefault="00DF520D" w:rsidP="00DF520D">
      <w:pPr>
        <w:spacing w:after="0" w:line="360" w:lineRule="auto"/>
        <w:jc w:val="both"/>
        <w:rPr>
          <w:rFonts w:ascii="Arial" w:eastAsia="Calibri" w:hAnsi="Arial" w:cs="Arial"/>
          <w:color w:val="000000"/>
        </w:rPr>
      </w:pPr>
      <w:r w:rsidRPr="00DF520D">
        <w:rPr>
          <w:rFonts w:ascii="Arial" w:eastAsia="Arial" w:hAnsi="Arial" w:cs="Arial"/>
          <w:b/>
          <w:color w:val="000000"/>
        </w:rPr>
        <w:t xml:space="preserve">4ª.- </w:t>
      </w:r>
      <w:r w:rsidRPr="00DF520D">
        <w:rPr>
          <w:rFonts w:ascii="Arial" w:eastAsia="Calibri" w:hAnsi="Arial" w:cs="Arial"/>
          <w:color w:val="000000"/>
        </w:rPr>
        <w:t xml:space="preserve">De acuerdo con lo dispuesto por los artículos 89 de la Constitución Política del Estado Libre y Soberano de Colima, y 97 del Código Electoral Local, el Instituto Electoral del Estado es </w:t>
      </w:r>
      <w:r w:rsidRPr="00DF520D">
        <w:rPr>
          <w:rFonts w:ascii="Arial" w:eastAsia="Calibri" w:hAnsi="Arial" w:cs="Arial"/>
          <w:color w:val="000000"/>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DF520D">
        <w:rPr>
          <w:rFonts w:ascii="Arial" w:eastAsia="Calibri" w:hAnsi="Arial" w:cs="Arial"/>
          <w:color w:val="000000"/>
        </w:rPr>
        <w:t xml:space="preserve">profesional en su desempeño e independiente en sus decisiones y funcionamiento. </w:t>
      </w:r>
    </w:p>
    <w:p w:rsidR="00DF520D" w:rsidRPr="00DF520D" w:rsidRDefault="00DF520D" w:rsidP="00DF520D">
      <w:pPr>
        <w:spacing w:after="0" w:line="360" w:lineRule="auto"/>
        <w:jc w:val="both"/>
        <w:rPr>
          <w:rFonts w:ascii="Arial" w:eastAsia="Calibri" w:hAnsi="Arial" w:cs="Arial"/>
          <w:color w:val="000000"/>
        </w:rPr>
      </w:pPr>
    </w:p>
    <w:p w:rsidR="00DF520D" w:rsidRPr="00DF520D" w:rsidRDefault="00DF520D" w:rsidP="00DF520D">
      <w:pPr>
        <w:spacing w:after="0" w:line="360" w:lineRule="auto"/>
        <w:jc w:val="both"/>
        <w:rPr>
          <w:rFonts w:ascii="Arial" w:eastAsia="Calibri" w:hAnsi="Arial" w:cs="Arial"/>
          <w:color w:val="000000"/>
        </w:rPr>
      </w:pPr>
      <w:r w:rsidRPr="00DF520D">
        <w:rPr>
          <w:rFonts w:ascii="Arial" w:eastAsia="Calibri" w:hAnsi="Arial" w:cs="Arial"/>
          <w:color w:val="000000"/>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imparcialidad, máxima publicidad y objetividad serán principios rectores del Instituto en comento.</w:t>
      </w:r>
    </w:p>
    <w:p w:rsidR="00DF520D" w:rsidRPr="00DF520D" w:rsidRDefault="00DF520D" w:rsidP="00DF520D">
      <w:pPr>
        <w:spacing w:after="0" w:line="360" w:lineRule="auto"/>
        <w:jc w:val="both"/>
        <w:rPr>
          <w:rFonts w:ascii="Arial" w:eastAsia="Calibri" w:hAnsi="Arial" w:cs="Arial"/>
          <w:color w:val="000000"/>
        </w:rPr>
      </w:pPr>
    </w:p>
    <w:p w:rsidR="00DF520D" w:rsidRPr="00DF520D" w:rsidRDefault="00DF520D" w:rsidP="00DF520D">
      <w:pPr>
        <w:autoSpaceDE w:val="0"/>
        <w:autoSpaceDN w:val="0"/>
        <w:adjustRightInd w:val="0"/>
        <w:spacing w:after="0" w:line="360" w:lineRule="auto"/>
        <w:jc w:val="both"/>
        <w:rPr>
          <w:rFonts w:ascii="Arial" w:eastAsia="Calibri" w:hAnsi="Arial" w:cs="Arial"/>
          <w:color w:val="000000"/>
          <w:lang w:val="es-ES_tradnl"/>
        </w:rPr>
      </w:pPr>
      <w:r w:rsidRPr="00DF520D">
        <w:rPr>
          <w:rFonts w:ascii="Arial" w:eastAsia="Calibri" w:hAnsi="Arial" w:cs="Arial"/>
          <w:color w:val="000000"/>
        </w:rPr>
        <w:t>Por su parte, artículo 99 del Código Comicial Local, establece que son fines del Instituto Electoral del Estado, p</w:t>
      </w:r>
      <w:r w:rsidRPr="00DF520D">
        <w:rPr>
          <w:rFonts w:ascii="Arial" w:eastAsia="Calibri" w:hAnsi="Arial" w:cs="Arial"/>
          <w:color w:val="000000"/>
          <w:lang w:val="es-ES_tradnl"/>
        </w:rPr>
        <w:t xml:space="preserve">reservar, fortalecer, promover y fomentar el desarrollo de la democracia en la entidad; preservar y fortalecer el régimen de partidos políticos; </w:t>
      </w:r>
      <w:r w:rsidRPr="00DF520D">
        <w:rPr>
          <w:rFonts w:ascii="Arial" w:eastAsia="Calibri" w:hAnsi="Arial" w:cs="Arial"/>
          <w:snapToGrid w:val="0"/>
          <w:color w:val="000000"/>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DF520D">
        <w:rPr>
          <w:rFonts w:ascii="Arial" w:eastAsia="Calibri" w:hAnsi="Arial" w:cs="Arial"/>
          <w:color w:val="000000"/>
          <w:lang w:val="es-ES_tradnl"/>
        </w:rPr>
        <w:t>coadyuvar en la promoción y difusión de la cultura cívica, política democrática.</w:t>
      </w:r>
    </w:p>
    <w:p w:rsidR="00DF520D" w:rsidRPr="00DF520D" w:rsidRDefault="00DF520D" w:rsidP="00DF520D">
      <w:pPr>
        <w:spacing w:after="0" w:line="360" w:lineRule="auto"/>
        <w:jc w:val="both"/>
        <w:rPr>
          <w:rFonts w:ascii="Arial" w:eastAsia="Calibri" w:hAnsi="Arial" w:cs="Arial"/>
          <w:b/>
          <w:lang w:val="es-ES_tradnl"/>
        </w:rPr>
      </w:pPr>
    </w:p>
    <w:p w:rsidR="00DF520D" w:rsidRPr="00DF520D" w:rsidRDefault="00DF520D" w:rsidP="00DF520D">
      <w:pPr>
        <w:spacing w:after="0" w:line="360" w:lineRule="auto"/>
        <w:jc w:val="both"/>
        <w:rPr>
          <w:rFonts w:ascii="Arial" w:eastAsia="Calibri" w:hAnsi="Arial" w:cs="Arial"/>
          <w:snapToGrid w:val="0"/>
        </w:rPr>
      </w:pPr>
      <w:r w:rsidRPr="00DF520D">
        <w:rPr>
          <w:rFonts w:ascii="Arial" w:eastAsia="Calibri" w:hAnsi="Arial" w:cs="Arial"/>
          <w:b/>
        </w:rPr>
        <w:lastRenderedPageBreak/>
        <w:t>5ª.-</w:t>
      </w:r>
      <w:r w:rsidRPr="00DF520D">
        <w:rPr>
          <w:rFonts w:ascii="Arial" w:eastAsia="Calibri" w:hAnsi="Arial" w:cs="Arial"/>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DF520D">
        <w:rPr>
          <w:rFonts w:ascii="Arial" w:eastAsia="Calibri" w:hAnsi="Arial" w:cs="Arial"/>
          <w:snapToGrid w:val="0"/>
        </w:rPr>
        <w:t>na o un Consejero Presidente y seis consejeras y/o consejeros electorales, una o un Secretario Ejecutivo, y un representante propietario o suplente, en su caso, por cada uno de los partidos políticos acreditados ante el Instituto, con el carácter de Comisionado.</w:t>
      </w:r>
    </w:p>
    <w:p w:rsidR="00DF520D" w:rsidRPr="00DF520D" w:rsidRDefault="00DF520D" w:rsidP="00DF520D">
      <w:pPr>
        <w:spacing w:after="0" w:line="360" w:lineRule="auto"/>
        <w:jc w:val="both"/>
        <w:rPr>
          <w:rFonts w:ascii="Arial" w:eastAsia="Calibri" w:hAnsi="Arial" w:cs="Arial"/>
          <w:snapToGrid w:val="0"/>
        </w:rPr>
      </w:pPr>
    </w:p>
    <w:p w:rsidR="00DF520D" w:rsidRPr="00DF520D" w:rsidRDefault="00DF520D" w:rsidP="00DF520D">
      <w:pPr>
        <w:spacing w:after="0" w:line="360" w:lineRule="auto"/>
        <w:jc w:val="both"/>
        <w:rPr>
          <w:rFonts w:ascii="Arial" w:eastAsia="Calibri" w:hAnsi="Arial" w:cs="Arial"/>
          <w:snapToGrid w:val="0"/>
        </w:rPr>
      </w:pPr>
      <w:r w:rsidRPr="00DF520D">
        <w:rPr>
          <w:rFonts w:ascii="Arial" w:eastAsia="Calibri" w:hAnsi="Arial" w:cs="Arial"/>
          <w:snapToGrid w:val="0"/>
        </w:rPr>
        <w:t>Adicionalmente, el referido Instituto contará con un Órgano Ejecutivo, que se integrará por la o el Presidente y la o el Secretario Ejecutivo del Consejo General y titulares de las direcciones de área que corresponda, y será presidido por la primer figura mencionada, lo anterior de acuerdo a lo previsto en la fracción II del citado artículo 101 del Código Electoral.</w:t>
      </w:r>
    </w:p>
    <w:p w:rsidR="00DF520D" w:rsidRPr="00DF520D" w:rsidRDefault="00DF520D" w:rsidP="00DF520D">
      <w:pPr>
        <w:spacing w:after="0" w:line="360" w:lineRule="auto"/>
        <w:jc w:val="both"/>
        <w:rPr>
          <w:rFonts w:ascii="Arial" w:eastAsia="Calibri" w:hAnsi="Arial" w:cs="Arial"/>
        </w:rPr>
      </w:pPr>
    </w:p>
    <w:p w:rsidR="00DF520D" w:rsidRPr="00DF520D" w:rsidRDefault="00DF520D" w:rsidP="00DF520D">
      <w:pPr>
        <w:spacing w:after="0" w:line="360" w:lineRule="auto"/>
        <w:jc w:val="both"/>
        <w:rPr>
          <w:rFonts w:ascii="Arial" w:eastAsia="Calibri" w:hAnsi="Arial" w:cs="Arial"/>
        </w:rPr>
      </w:pPr>
      <w:r w:rsidRPr="00DF520D">
        <w:rPr>
          <w:rFonts w:ascii="Arial" w:eastAsia="Calibri" w:hAnsi="Arial" w:cs="Arial"/>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ley.</w:t>
      </w:r>
    </w:p>
    <w:p w:rsidR="00DF520D" w:rsidRPr="00DF520D" w:rsidRDefault="00DF520D" w:rsidP="00DF520D">
      <w:pPr>
        <w:spacing w:after="0" w:line="360" w:lineRule="auto"/>
        <w:jc w:val="both"/>
        <w:rPr>
          <w:rFonts w:ascii="Arial" w:eastAsia="Calibri" w:hAnsi="Arial" w:cs="Arial"/>
          <w:snapToGrid w:val="0"/>
        </w:rPr>
      </w:pPr>
    </w:p>
    <w:p w:rsidR="00DF520D" w:rsidRPr="00DF520D" w:rsidRDefault="00DF520D" w:rsidP="00DF520D">
      <w:pPr>
        <w:spacing w:after="0" w:line="360" w:lineRule="auto"/>
        <w:jc w:val="both"/>
        <w:rPr>
          <w:rFonts w:ascii="Arial" w:eastAsia="Calibri" w:hAnsi="Arial" w:cs="Arial"/>
          <w:snapToGrid w:val="0"/>
        </w:rPr>
      </w:pPr>
      <w:r w:rsidRPr="00DF520D">
        <w:rPr>
          <w:rFonts w:ascii="Arial" w:eastAsia="Calibri" w:hAnsi="Arial" w:cs="Arial"/>
          <w:snapToGrid w:val="0"/>
        </w:rPr>
        <w:t>Señalando además el referido numeral que este Instituto contará, de conformidad con su presupuesto, con el personal calificado necesario para desempeñar las actividades relativas al cumplimiento de sus fines.</w:t>
      </w:r>
    </w:p>
    <w:p w:rsidR="00DF520D" w:rsidRPr="00DF520D" w:rsidRDefault="00DF520D" w:rsidP="00DF520D">
      <w:pPr>
        <w:spacing w:after="0" w:line="360" w:lineRule="auto"/>
        <w:jc w:val="both"/>
        <w:rPr>
          <w:rFonts w:ascii="Arial" w:eastAsia="Calibri" w:hAnsi="Arial" w:cs="Arial"/>
          <w:snapToGrid w:val="0"/>
        </w:rPr>
      </w:pPr>
    </w:p>
    <w:p w:rsidR="00DF520D" w:rsidRPr="00DF520D" w:rsidRDefault="00DF520D" w:rsidP="00DF520D">
      <w:pPr>
        <w:spacing w:after="0" w:line="360" w:lineRule="auto"/>
        <w:jc w:val="both"/>
        <w:rPr>
          <w:rFonts w:ascii="Arial" w:eastAsia="Calibri" w:hAnsi="Arial" w:cs="Arial"/>
        </w:rPr>
      </w:pPr>
      <w:r w:rsidRPr="00DF520D">
        <w:rPr>
          <w:rFonts w:ascii="Arial" w:eastAsia="Calibri" w:hAnsi="Arial" w:cs="Arial"/>
          <w:b/>
        </w:rPr>
        <w:t xml:space="preserve">6ª.- </w:t>
      </w:r>
      <w:r w:rsidRPr="00DF520D">
        <w:rPr>
          <w:rFonts w:ascii="Arial" w:eastAsia="Calibri" w:hAnsi="Arial" w:cs="Arial"/>
        </w:rPr>
        <w:t>Tal y como se señaló en las consideraciones 1ª y 4ª que anteceden, este Instituto Electoral es un organismo público de carácter permanente, que gozará de autonomía en su funcionamiento e independencia en sus decisiones, dotado de personalidad jurídica y patrimonio propio. Sirven de referencia las tesis relevantes</w:t>
      </w:r>
      <w:r w:rsidRPr="00DF520D">
        <w:rPr>
          <w:rFonts w:ascii="Arial" w:eastAsia="Calibri" w:hAnsi="Arial" w:cs="Arial"/>
          <w:vertAlign w:val="superscript"/>
        </w:rPr>
        <w:footnoteReference w:id="1"/>
      </w:r>
      <w:r w:rsidRPr="00DF520D">
        <w:rPr>
          <w:rFonts w:ascii="Arial" w:eastAsia="Calibri" w:hAnsi="Arial" w:cs="Arial"/>
        </w:rPr>
        <w:t xml:space="preserve"> de rubro y texto siguientes:</w:t>
      </w:r>
    </w:p>
    <w:p w:rsidR="00DF520D" w:rsidRPr="00DF520D" w:rsidRDefault="00DF520D" w:rsidP="00DF520D">
      <w:pPr>
        <w:spacing w:after="0" w:line="360" w:lineRule="auto"/>
        <w:jc w:val="both"/>
        <w:rPr>
          <w:rFonts w:ascii="Arial" w:eastAsia="Calibri" w:hAnsi="Arial" w:cs="Arial"/>
        </w:rPr>
      </w:pPr>
      <w:r w:rsidRPr="00DF520D">
        <w:rPr>
          <w:rFonts w:ascii="Arial" w:eastAsia="Calibri" w:hAnsi="Arial" w:cs="Arial"/>
        </w:rPr>
        <w:t xml:space="preserve"> </w:t>
      </w:r>
    </w:p>
    <w:p w:rsidR="00DF520D" w:rsidRPr="00DF520D" w:rsidRDefault="00DF520D" w:rsidP="00DF520D">
      <w:pPr>
        <w:spacing w:after="0" w:line="240" w:lineRule="auto"/>
        <w:ind w:left="426" w:right="425"/>
        <w:jc w:val="both"/>
        <w:rPr>
          <w:rFonts w:ascii="Arial" w:eastAsia="Calibri" w:hAnsi="Arial" w:cs="Arial"/>
          <w:i/>
          <w:iCs/>
        </w:rPr>
      </w:pPr>
      <w:r w:rsidRPr="00DF520D">
        <w:rPr>
          <w:rFonts w:ascii="Arial" w:eastAsia="Calibri" w:hAnsi="Arial" w:cs="Arial"/>
          <w:b/>
          <w:bCs/>
          <w:i/>
          <w:iCs/>
        </w:rPr>
        <w:t xml:space="preserve">“INSTITUTOS U ORGANISMOS ELECTORALES. GOZAN DE PLENA AUTONOMÍA CONSTITUCIONAL.- </w:t>
      </w:r>
      <w:r w:rsidRPr="00DF520D">
        <w:rPr>
          <w:rFonts w:ascii="Arial" w:eastAsia="Calibri" w:hAnsi="Arial" w:cs="Arial"/>
          <w:i/>
          <w:iC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w:t>
      </w:r>
      <w:r w:rsidRPr="00DF520D">
        <w:rPr>
          <w:rFonts w:ascii="Arial" w:eastAsia="Calibri" w:hAnsi="Arial" w:cs="Arial"/>
          <w:i/>
          <w:iCs/>
        </w:rPr>
        <w:lastRenderedPageBreak/>
        <w:t>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DF520D">
        <w:rPr>
          <w:rFonts w:ascii="Arial" w:eastAsia="Calibri" w:hAnsi="Arial" w:cs="Arial"/>
          <w:i/>
          <w:iCs/>
          <w:vertAlign w:val="superscript"/>
        </w:rPr>
        <w:footnoteReference w:id="2"/>
      </w:r>
    </w:p>
    <w:p w:rsidR="00DF520D" w:rsidRPr="00DF520D" w:rsidRDefault="00DF520D" w:rsidP="00DF520D">
      <w:pPr>
        <w:spacing w:after="0" w:line="240" w:lineRule="auto"/>
        <w:ind w:left="426" w:right="425"/>
        <w:jc w:val="both"/>
        <w:rPr>
          <w:rFonts w:ascii="Arial" w:eastAsia="Calibri" w:hAnsi="Arial" w:cs="Arial"/>
          <w:b/>
          <w:bCs/>
          <w:i/>
          <w:iCs/>
        </w:rPr>
      </w:pPr>
    </w:p>
    <w:p w:rsidR="00DF520D" w:rsidRPr="00DF520D" w:rsidRDefault="00DF520D" w:rsidP="00DF520D">
      <w:pPr>
        <w:spacing w:after="0" w:line="240" w:lineRule="auto"/>
        <w:ind w:left="426" w:right="425"/>
        <w:jc w:val="both"/>
        <w:rPr>
          <w:rFonts w:ascii="Arial" w:eastAsia="Calibri" w:hAnsi="Arial" w:cs="Arial"/>
          <w:i/>
          <w:iCs/>
        </w:rPr>
      </w:pPr>
      <w:r w:rsidRPr="00DF520D">
        <w:rPr>
          <w:rFonts w:ascii="Arial" w:eastAsia="Calibri" w:hAnsi="Arial" w:cs="Arial"/>
          <w:b/>
          <w:bCs/>
          <w:i/>
          <w:iCs/>
        </w:rPr>
        <w:t>“AUTORIDADES ELECTORALES. LA INDEPENDENCIA EN SUS DECISIONES ES UNA GARANTÍA CONSTITUCIONAL.—</w:t>
      </w:r>
      <w:r w:rsidRPr="00DF520D">
        <w:rPr>
          <w:rFonts w:ascii="Arial" w:eastAsia="Calibri" w:hAnsi="Arial" w:cs="Arial"/>
          <w:i/>
          <w:iC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DF520D">
        <w:rPr>
          <w:rFonts w:ascii="Arial" w:eastAsia="Calibri" w:hAnsi="Arial" w:cs="Arial"/>
          <w:b/>
          <w:bCs/>
          <w:i/>
        </w:rPr>
        <w:t xml:space="preserve"> </w:t>
      </w:r>
      <w:r w:rsidRPr="00DF520D">
        <w:rPr>
          <w:rFonts w:ascii="Arial" w:eastAsia="Calibri" w:hAnsi="Arial" w:cs="Arial"/>
          <w:i/>
          <w:iC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DF520D">
        <w:rPr>
          <w:rFonts w:ascii="Arial" w:eastAsia="Calibri" w:hAnsi="Arial" w:cs="Arial"/>
          <w:i/>
          <w:iCs/>
          <w:vertAlign w:val="superscript"/>
        </w:rPr>
        <w:footnoteReference w:id="3"/>
      </w:r>
    </w:p>
    <w:p w:rsidR="00DF520D" w:rsidRPr="00DF520D" w:rsidRDefault="00DF520D" w:rsidP="00DF520D">
      <w:pPr>
        <w:spacing w:after="0" w:line="360" w:lineRule="auto"/>
        <w:jc w:val="both"/>
        <w:rPr>
          <w:rFonts w:ascii="Arial" w:eastAsia="Calibri" w:hAnsi="Arial" w:cs="Arial"/>
          <w:b/>
        </w:rPr>
      </w:pPr>
    </w:p>
    <w:p w:rsidR="00DF520D" w:rsidRPr="00DF520D" w:rsidRDefault="00DF520D" w:rsidP="00E96F12">
      <w:pPr>
        <w:spacing w:after="0" w:line="360" w:lineRule="auto"/>
        <w:jc w:val="both"/>
        <w:rPr>
          <w:rFonts w:ascii="Arial" w:eastAsia="Calibri" w:hAnsi="Arial" w:cs="Times New Roman"/>
          <w:lang w:val="es-ES"/>
        </w:rPr>
      </w:pPr>
      <w:r w:rsidRPr="00DF520D">
        <w:rPr>
          <w:rFonts w:ascii="Arial" w:eastAsia="Calibri" w:hAnsi="Arial" w:cs="Arial"/>
          <w:b/>
        </w:rPr>
        <w:t xml:space="preserve">7ª.- </w:t>
      </w:r>
      <w:r w:rsidRPr="00DF520D">
        <w:rPr>
          <w:rFonts w:ascii="Arial" w:eastAsia="Calibri" w:hAnsi="Arial" w:cs="Arial"/>
        </w:rPr>
        <w:t>Conforme a lo previsto en la fracción IV del artículo 114 del Código Electoral del Estado, es atribución de este Órgano Superior de Dirección el vigilar la oportuna integración, instalación y adecuado funcionamiento de los órganos del Instituto.</w:t>
      </w:r>
    </w:p>
    <w:p w:rsidR="00DF520D" w:rsidRDefault="00DF520D" w:rsidP="00E96F12">
      <w:pPr>
        <w:spacing w:after="0" w:line="360" w:lineRule="auto"/>
        <w:jc w:val="both"/>
        <w:rPr>
          <w:rFonts w:ascii="Arial" w:eastAsia="Calibri" w:hAnsi="Arial" w:cs="Arial"/>
          <w:b/>
        </w:rPr>
      </w:pPr>
    </w:p>
    <w:p w:rsidR="008324B5" w:rsidRDefault="00BD1B4B" w:rsidP="00E96F12">
      <w:pPr>
        <w:spacing w:after="0" w:line="360" w:lineRule="auto"/>
        <w:jc w:val="both"/>
        <w:rPr>
          <w:rFonts w:ascii="Arial" w:eastAsia="Calibri" w:hAnsi="Arial" w:cs="Arial"/>
        </w:rPr>
      </w:pPr>
      <w:r>
        <w:rPr>
          <w:rFonts w:ascii="Arial" w:eastAsia="Calibri" w:hAnsi="Arial" w:cs="Arial"/>
          <w:b/>
        </w:rPr>
        <w:t>8</w:t>
      </w:r>
      <w:r w:rsidR="008324B5">
        <w:rPr>
          <w:rFonts w:ascii="Arial" w:eastAsia="Calibri" w:hAnsi="Arial" w:cs="Arial"/>
          <w:b/>
        </w:rPr>
        <w:t>ª.-</w:t>
      </w:r>
      <w:r w:rsidR="008324B5">
        <w:rPr>
          <w:rFonts w:ascii="Arial" w:eastAsia="Calibri" w:hAnsi="Arial" w:cs="Arial"/>
        </w:rPr>
        <w:t xml:space="preserve"> De conformidad con lo expuesto en el artícul</w:t>
      </w:r>
      <w:r w:rsidR="00A6693F">
        <w:rPr>
          <w:rFonts w:ascii="Arial" w:eastAsia="Calibri" w:hAnsi="Arial" w:cs="Arial"/>
        </w:rPr>
        <w:t>o 112 del Código Electoral local</w:t>
      </w:r>
      <w:r w:rsidR="008324B5">
        <w:rPr>
          <w:rFonts w:ascii="Arial" w:eastAsia="Calibri" w:hAnsi="Arial" w:cs="Arial"/>
        </w:rPr>
        <w:t xml:space="preserve"> el Consejo General integrará las Comisiones que considere necesarias para el desempeño de sus atribuciones, con el número de miembros que para cada caso acuerde.</w:t>
      </w:r>
    </w:p>
    <w:p w:rsidR="00BD1B4B" w:rsidRDefault="00BD1B4B" w:rsidP="00E96F12">
      <w:pPr>
        <w:spacing w:after="0" w:line="360" w:lineRule="auto"/>
        <w:jc w:val="both"/>
        <w:rPr>
          <w:rFonts w:ascii="Arial" w:eastAsia="Calibri" w:hAnsi="Arial" w:cs="Arial"/>
        </w:rPr>
      </w:pPr>
    </w:p>
    <w:p w:rsidR="00BD1B4B" w:rsidRDefault="00BD1B4B" w:rsidP="00E96F12">
      <w:pPr>
        <w:spacing w:after="0" w:line="360" w:lineRule="auto"/>
        <w:jc w:val="both"/>
        <w:rPr>
          <w:rFonts w:ascii="Arial" w:eastAsia="Calibri" w:hAnsi="Arial" w:cs="Arial"/>
        </w:rPr>
      </w:pPr>
      <w:r>
        <w:rPr>
          <w:rFonts w:ascii="Arial" w:eastAsia="Calibri" w:hAnsi="Arial" w:cs="Arial"/>
        </w:rPr>
        <w:t>Adicionalmente, conforme a lo previsto en el tercer párrafo del artículo 304 del Código Electoral del Estado, el Instituto contará, para la tramitación de los Procedimientos Sancionadores descritos en el mismo ordenamiento, con una</w:t>
      </w:r>
      <w:r w:rsidRPr="00BD1B4B">
        <w:rPr>
          <w:rFonts w:ascii="Arial" w:eastAsia="Calibri" w:hAnsi="Arial" w:cs="Arial"/>
        </w:rPr>
        <w:t xml:space="preserve"> Comisión</w:t>
      </w:r>
      <w:r>
        <w:rPr>
          <w:rFonts w:ascii="Arial" w:eastAsia="Calibri" w:hAnsi="Arial" w:cs="Arial"/>
        </w:rPr>
        <w:t xml:space="preserve"> de Denuncias y Quejas</w:t>
      </w:r>
      <w:r w:rsidRPr="00BD1B4B">
        <w:rPr>
          <w:rFonts w:ascii="Arial" w:eastAsia="Calibri" w:hAnsi="Arial" w:cs="Arial"/>
        </w:rPr>
        <w:t>,</w:t>
      </w:r>
      <w:r>
        <w:rPr>
          <w:rFonts w:ascii="Arial" w:eastAsia="Calibri" w:hAnsi="Arial" w:cs="Arial"/>
        </w:rPr>
        <w:t xml:space="preserve"> la cual</w:t>
      </w:r>
      <w:r w:rsidRPr="00BD1B4B">
        <w:rPr>
          <w:rFonts w:ascii="Arial" w:eastAsia="Calibri" w:hAnsi="Arial" w:cs="Arial"/>
        </w:rPr>
        <w:t xml:space="preserve"> se integrará por tres</w:t>
      </w:r>
      <w:r>
        <w:rPr>
          <w:rFonts w:ascii="Arial" w:eastAsia="Calibri" w:hAnsi="Arial" w:cs="Arial"/>
        </w:rPr>
        <w:t xml:space="preserve"> Consejeras o</w:t>
      </w:r>
      <w:r w:rsidRPr="00BD1B4B">
        <w:rPr>
          <w:rFonts w:ascii="Arial" w:eastAsia="Calibri" w:hAnsi="Arial" w:cs="Arial"/>
        </w:rPr>
        <w:t xml:space="preserve"> Consejeros Electorales, quienes serán </w:t>
      </w:r>
      <w:r>
        <w:rPr>
          <w:rFonts w:ascii="Arial" w:eastAsia="Calibri" w:hAnsi="Arial" w:cs="Arial"/>
        </w:rPr>
        <w:t xml:space="preserve">designadas y </w:t>
      </w:r>
      <w:r w:rsidRPr="00BD1B4B">
        <w:rPr>
          <w:rFonts w:ascii="Arial" w:eastAsia="Calibri" w:hAnsi="Arial" w:cs="Arial"/>
        </w:rPr>
        <w:t>designados por el Consejo General para un periodo de tres años</w:t>
      </w:r>
      <w:r>
        <w:rPr>
          <w:rFonts w:ascii="Arial" w:eastAsia="Calibri" w:hAnsi="Arial" w:cs="Arial"/>
        </w:rPr>
        <w:t>.</w:t>
      </w:r>
    </w:p>
    <w:p w:rsidR="00DF520D" w:rsidRDefault="00DF520D" w:rsidP="00E96F12">
      <w:pPr>
        <w:spacing w:after="0" w:line="360" w:lineRule="auto"/>
        <w:jc w:val="both"/>
        <w:rPr>
          <w:rFonts w:ascii="Arial" w:eastAsia="Calibri" w:hAnsi="Arial" w:cs="Arial"/>
        </w:rPr>
      </w:pPr>
    </w:p>
    <w:p w:rsidR="008324B5" w:rsidRDefault="00BD1B4B" w:rsidP="00E96F12">
      <w:pPr>
        <w:spacing w:after="0" w:line="360" w:lineRule="auto"/>
        <w:jc w:val="both"/>
        <w:rPr>
          <w:rFonts w:ascii="Arial" w:eastAsia="Calibri" w:hAnsi="Arial" w:cs="Arial"/>
        </w:rPr>
      </w:pPr>
      <w:r>
        <w:rPr>
          <w:rFonts w:ascii="Arial" w:eastAsia="Calibri" w:hAnsi="Arial" w:cs="Arial"/>
        </w:rPr>
        <w:t>En esa tesitura</w:t>
      </w:r>
      <w:r w:rsidR="00092107">
        <w:rPr>
          <w:rFonts w:ascii="Arial" w:eastAsia="Calibri" w:hAnsi="Arial" w:cs="Arial"/>
        </w:rPr>
        <w:t xml:space="preserve">, </w:t>
      </w:r>
      <w:r>
        <w:rPr>
          <w:rFonts w:ascii="Arial" w:eastAsia="Calibri" w:hAnsi="Arial" w:cs="Arial"/>
        </w:rPr>
        <w:t>en los términos del Acuerdo a que se refiere</w:t>
      </w:r>
      <w:r w:rsidR="00092107">
        <w:rPr>
          <w:rFonts w:ascii="Arial" w:eastAsia="Calibri" w:hAnsi="Arial" w:cs="Arial"/>
        </w:rPr>
        <w:t xml:space="preserve"> el Antecedente I del presente </w:t>
      </w:r>
      <w:r>
        <w:rPr>
          <w:rFonts w:ascii="Arial" w:eastAsia="Calibri" w:hAnsi="Arial" w:cs="Arial"/>
        </w:rPr>
        <w:t>I</w:t>
      </w:r>
      <w:r w:rsidR="00092107">
        <w:rPr>
          <w:rFonts w:ascii="Arial" w:eastAsia="Calibri" w:hAnsi="Arial" w:cs="Arial"/>
        </w:rPr>
        <w:t xml:space="preserve">nstrumento, el Órgano Superior de Dirección aprobó la integración de las Comisiones </w:t>
      </w:r>
      <w:r w:rsidR="00A6693F">
        <w:rPr>
          <w:rFonts w:ascii="Arial" w:eastAsia="Calibri" w:hAnsi="Arial" w:cs="Arial"/>
        </w:rPr>
        <w:t>Permanente</w:t>
      </w:r>
      <w:r>
        <w:rPr>
          <w:rFonts w:ascii="Arial" w:eastAsia="Calibri" w:hAnsi="Arial" w:cs="Arial"/>
        </w:rPr>
        <w:t>s</w:t>
      </w:r>
      <w:r w:rsidR="00A6693F">
        <w:rPr>
          <w:rFonts w:ascii="Arial" w:eastAsia="Calibri" w:hAnsi="Arial" w:cs="Arial"/>
        </w:rPr>
        <w:t xml:space="preserve"> de este</w:t>
      </w:r>
      <w:r w:rsidR="00092107">
        <w:rPr>
          <w:rFonts w:ascii="Arial" w:eastAsia="Calibri" w:hAnsi="Arial" w:cs="Arial"/>
        </w:rPr>
        <w:t xml:space="preserve"> Instituto, </w:t>
      </w:r>
      <w:r w:rsidR="00A6693F">
        <w:rPr>
          <w:rFonts w:ascii="Arial" w:eastAsia="Calibri" w:hAnsi="Arial" w:cs="Arial"/>
        </w:rPr>
        <w:t xml:space="preserve">en cumplimiento </w:t>
      </w:r>
      <w:r>
        <w:rPr>
          <w:rFonts w:ascii="Arial" w:eastAsia="Calibri" w:hAnsi="Arial" w:cs="Arial"/>
        </w:rPr>
        <w:t>a</w:t>
      </w:r>
      <w:r w:rsidR="00A6693F">
        <w:rPr>
          <w:rFonts w:ascii="Arial" w:eastAsia="Calibri" w:hAnsi="Arial" w:cs="Arial"/>
        </w:rPr>
        <w:t>l artículo 4, fracción I</w:t>
      </w:r>
      <w:r w:rsidR="00EC58F7">
        <w:rPr>
          <w:rFonts w:ascii="Arial" w:eastAsia="Calibri" w:hAnsi="Arial" w:cs="Arial"/>
        </w:rPr>
        <w:t>,</w:t>
      </w:r>
      <w:r w:rsidR="00A6693F">
        <w:rPr>
          <w:rFonts w:ascii="Arial" w:eastAsia="Calibri" w:hAnsi="Arial" w:cs="Arial"/>
        </w:rPr>
        <w:t xml:space="preserve"> del Reglamento de Comisiones de este Instituto.</w:t>
      </w:r>
    </w:p>
    <w:p w:rsidR="00EC58F7" w:rsidRDefault="00EC58F7" w:rsidP="00E96F12">
      <w:pPr>
        <w:spacing w:after="0" w:line="360" w:lineRule="auto"/>
        <w:jc w:val="both"/>
        <w:rPr>
          <w:rFonts w:ascii="Arial" w:eastAsia="Calibri" w:hAnsi="Arial" w:cs="Arial"/>
        </w:rPr>
      </w:pPr>
    </w:p>
    <w:p w:rsidR="00EC58F7" w:rsidRDefault="00EC58F7" w:rsidP="00E96F12">
      <w:pPr>
        <w:spacing w:after="0" w:line="360" w:lineRule="auto"/>
        <w:jc w:val="both"/>
        <w:rPr>
          <w:rFonts w:ascii="Arial" w:eastAsia="Calibri" w:hAnsi="Arial" w:cs="Arial"/>
        </w:rPr>
      </w:pPr>
      <w:r>
        <w:rPr>
          <w:rFonts w:ascii="Arial" w:eastAsia="Calibri" w:hAnsi="Arial" w:cs="Arial"/>
        </w:rPr>
        <w:t xml:space="preserve">Al respecto, y para el tema que nos ocupa, la </w:t>
      </w:r>
      <w:r w:rsidRPr="00EC58F7">
        <w:rPr>
          <w:rFonts w:ascii="Arial" w:eastAsia="Calibri" w:hAnsi="Arial" w:cs="Arial"/>
        </w:rPr>
        <w:t xml:space="preserve">Comisión de Denuncias y Quejas </w:t>
      </w:r>
      <w:r>
        <w:rPr>
          <w:rFonts w:ascii="Arial" w:eastAsia="Calibri" w:hAnsi="Arial" w:cs="Arial"/>
        </w:rPr>
        <w:t xml:space="preserve">quedó integrada como se describe a continuación: </w:t>
      </w:r>
    </w:p>
    <w:p w:rsidR="00EC58F7" w:rsidRDefault="00EC58F7" w:rsidP="00EC58F7">
      <w:pPr>
        <w:spacing w:after="0" w:line="360" w:lineRule="auto"/>
        <w:jc w:val="both"/>
        <w:rPr>
          <w:rFonts w:ascii="Arial" w:eastAsia="Calibri" w:hAnsi="Arial" w:cs="Arial"/>
        </w:rPr>
      </w:pPr>
    </w:p>
    <w:tbl>
      <w:tblPr>
        <w:tblStyle w:val="Tabladecuadrcula31"/>
        <w:tblW w:w="6629" w:type="dxa"/>
        <w:jc w:val="center"/>
        <w:tblInd w:w="0" w:type="dxa"/>
        <w:tblLook w:val="04A0" w:firstRow="1" w:lastRow="0" w:firstColumn="1" w:lastColumn="0" w:noHBand="0" w:noVBand="1"/>
      </w:tblPr>
      <w:tblGrid>
        <w:gridCol w:w="2398"/>
        <w:gridCol w:w="4231"/>
      </w:tblGrid>
      <w:tr w:rsidR="00EC58F7" w:rsidTr="00EC58F7">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100" w:firstRow="0" w:lastRow="0" w:firstColumn="1" w:lastColumn="0" w:oddVBand="0" w:evenVBand="0" w:oddHBand="0" w:evenHBand="0" w:firstRowFirstColumn="1" w:firstRowLastColumn="0" w:lastRowFirstColumn="0" w:lastRowLastColumn="0"/>
            <w:tcW w:w="6629" w:type="dxa"/>
            <w:gridSpan w:val="2"/>
            <w:vAlign w:val="center"/>
            <w:hideMark/>
          </w:tcPr>
          <w:p w:rsidR="00EC58F7" w:rsidRDefault="00EC58F7" w:rsidP="00EC58F7">
            <w:pPr>
              <w:jc w:val="both"/>
              <w:rPr>
                <w:rFonts w:ascii="Arial" w:hAnsi="Arial" w:cs="Arial"/>
                <w:sz w:val="22"/>
                <w:szCs w:val="22"/>
                <w:lang w:eastAsia="en-US"/>
              </w:rPr>
            </w:pPr>
            <w:r>
              <w:rPr>
                <w:rFonts w:ascii="Arial" w:hAnsi="Arial" w:cs="Arial"/>
                <w:sz w:val="22"/>
                <w:szCs w:val="22"/>
                <w:lang w:eastAsia="en-US"/>
              </w:rPr>
              <w:t>COMISIÓN DE DENUNCIAS Y QUEJAS</w:t>
            </w:r>
          </w:p>
        </w:tc>
      </w:tr>
      <w:tr w:rsidR="00EC58F7" w:rsidTr="00EC58F7">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2398" w:type="dxa"/>
            <w:tcBorders>
              <w:right w:val="single" w:sz="4" w:space="0" w:color="666666"/>
            </w:tcBorders>
            <w:vAlign w:val="center"/>
            <w:hideMark/>
          </w:tcPr>
          <w:p w:rsidR="00EC58F7" w:rsidRDefault="00EC58F7" w:rsidP="00EC58F7">
            <w:pPr>
              <w:jc w:val="both"/>
              <w:rPr>
                <w:rFonts w:ascii="Arial" w:hAnsi="Arial" w:cs="Arial"/>
                <w:sz w:val="22"/>
                <w:szCs w:val="22"/>
                <w:lang w:eastAsia="en-US"/>
              </w:rPr>
            </w:pPr>
            <w:r>
              <w:rPr>
                <w:rFonts w:ascii="Arial" w:hAnsi="Arial" w:cs="Arial"/>
                <w:sz w:val="22"/>
                <w:szCs w:val="22"/>
                <w:lang w:eastAsia="en-US"/>
              </w:rPr>
              <w:t>Consejera Presidenta</w:t>
            </w:r>
          </w:p>
        </w:tc>
        <w:tc>
          <w:tcPr>
            <w:tcW w:w="4231" w:type="dxa"/>
            <w:tcBorders>
              <w:top w:val="single" w:sz="4" w:space="0" w:color="666666"/>
              <w:left w:val="single" w:sz="4" w:space="0" w:color="666666"/>
              <w:bottom w:val="single" w:sz="4" w:space="0" w:color="666666"/>
              <w:right w:val="single" w:sz="4" w:space="0" w:color="666666"/>
            </w:tcBorders>
            <w:vAlign w:val="center"/>
          </w:tcPr>
          <w:p w:rsidR="00EC58F7" w:rsidRDefault="00EC58F7" w:rsidP="00EC58F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Licda. Ayizde Anguiano Polanco</w:t>
            </w:r>
          </w:p>
        </w:tc>
      </w:tr>
      <w:tr w:rsidR="00EC58F7" w:rsidTr="00EC58F7">
        <w:trPr>
          <w:trHeight w:val="387"/>
          <w:jc w:val="center"/>
        </w:trPr>
        <w:tc>
          <w:tcPr>
            <w:cnfStyle w:val="001000000000" w:firstRow="0" w:lastRow="0" w:firstColumn="1" w:lastColumn="0" w:oddVBand="0" w:evenVBand="0" w:oddHBand="0" w:evenHBand="0" w:firstRowFirstColumn="0" w:firstRowLastColumn="0" w:lastRowFirstColumn="0" w:lastRowLastColumn="0"/>
            <w:tcW w:w="2398" w:type="dxa"/>
            <w:tcBorders>
              <w:right w:val="single" w:sz="4" w:space="0" w:color="666666"/>
            </w:tcBorders>
            <w:vAlign w:val="center"/>
            <w:hideMark/>
          </w:tcPr>
          <w:p w:rsidR="00EC58F7" w:rsidRDefault="00EC58F7" w:rsidP="00EC58F7">
            <w:pPr>
              <w:jc w:val="both"/>
              <w:rPr>
                <w:rFonts w:ascii="Arial" w:hAnsi="Arial" w:cs="Arial"/>
                <w:sz w:val="22"/>
                <w:szCs w:val="22"/>
                <w:lang w:eastAsia="en-US"/>
              </w:rPr>
            </w:pPr>
            <w:r>
              <w:rPr>
                <w:rFonts w:ascii="Arial" w:hAnsi="Arial" w:cs="Arial"/>
                <w:sz w:val="22"/>
                <w:szCs w:val="22"/>
                <w:lang w:eastAsia="en-US"/>
              </w:rPr>
              <w:t>Consejera Integrante</w:t>
            </w:r>
          </w:p>
        </w:tc>
        <w:tc>
          <w:tcPr>
            <w:tcW w:w="4231" w:type="dxa"/>
            <w:tcBorders>
              <w:top w:val="single" w:sz="4" w:space="0" w:color="666666"/>
              <w:left w:val="single" w:sz="4" w:space="0" w:color="666666"/>
              <w:bottom w:val="single" w:sz="4" w:space="0" w:color="666666"/>
              <w:right w:val="single" w:sz="4" w:space="0" w:color="666666"/>
            </w:tcBorders>
            <w:vAlign w:val="center"/>
            <w:hideMark/>
          </w:tcPr>
          <w:p w:rsidR="00EC58F7" w:rsidRDefault="00EC58F7" w:rsidP="00EC58F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Mtra. Arlen Alejandra Martínez Fuentes</w:t>
            </w:r>
          </w:p>
        </w:tc>
      </w:tr>
      <w:tr w:rsidR="00EC58F7" w:rsidTr="00EC58F7">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2398" w:type="dxa"/>
            <w:tcBorders>
              <w:right w:val="single" w:sz="4" w:space="0" w:color="666666"/>
            </w:tcBorders>
            <w:vAlign w:val="center"/>
            <w:hideMark/>
          </w:tcPr>
          <w:p w:rsidR="00EC58F7" w:rsidRDefault="00EC58F7" w:rsidP="00EC58F7">
            <w:pPr>
              <w:jc w:val="both"/>
              <w:rPr>
                <w:rFonts w:ascii="Arial" w:hAnsi="Arial" w:cs="Arial"/>
                <w:sz w:val="22"/>
                <w:szCs w:val="22"/>
                <w:lang w:eastAsia="en-US"/>
              </w:rPr>
            </w:pPr>
            <w:r>
              <w:rPr>
                <w:rFonts w:ascii="Arial" w:hAnsi="Arial" w:cs="Arial"/>
                <w:sz w:val="22"/>
                <w:szCs w:val="22"/>
                <w:lang w:eastAsia="en-US"/>
              </w:rPr>
              <w:t>Consejero Integrante</w:t>
            </w:r>
          </w:p>
        </w:tc>
        <w:tc>
          <w:tcPr>
            <w:tcW w:w="4231" w:type="dxa"/>
            <w:tcBorders>
              <w:top w:val="single" w:sz="4" w:space="0" w:color="666666"/>
              <w:left w:val="single" w:sz="4" w:space="0" w:color="666666"/>
              <w:bottom w:val="single" w:sz="4" w:space="0" w:color="666666"/>
              <w:right w:val="single" w:sz="4" w:space="0" w:color="666666"/>
            </w:tcBorders>
            <w:vAlign w:val="center"/>
            <w:hideMark/>
          </w:tcPr>
          <w:p w:rsidR="00EC58F7" w:rsidRDefault="00EC58F7" w:rsidP="00EC58F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Lic. Raúl Maldonado Ramírez</w:t>
            </w:r>
          </w:p>
        </w:tc>
      </w:tr>
    </w:tbl>
    <w:p w:rsidR="00DF520D" w:rsidRDefault="00DF520D" w:rsidP="00DF520D">
      <w:pPr>
        <w:spacing w:after="0" w:line="360" w:lineRule="auto"/>
        <w:jc w:val="both"/>
        <w:rPr>
          <w:rFonts w:ascii="Arial" w:eastAsia="Calibri" w:hAnsi="Arial" w:cs="Arial"/>
          <w:b/>
        </w:rPr>
      </w:pPr>
    </w:p>
    <w:p w:rsidR="0084774B" w:rsidRDefault="00BD1B4B" w:rsidP="00DF520D">
      <w:pPr>
        <w:spacing w:after="0" w:line="360" w:lineRule="auto"/>
        <w:jc w:val="both"/>
        <w:rPr>
          <w:rFonts w:ascii="Arial" w:eastAsia="Calibri" w:hAnsi="Arial" w:cs="Arial"/>
        </w:rPr>
      </w:pPr>
      <w:r>
        <w:rPr>
          <w:rFonts w:ascii="Arial" w:eastAsia="Calibri" w:hAnsi="Arial" w:cs="Arial"/>
          <w:b/>
        </w:rPr>
        <w:t>9</w:t>
      </w:r>
      <w:r w:rsidR="00A6693F" w:rsidRPr="00A6693F">
        <w:rPr>
          <w:rFonts w:ascii="Arial" w:eastAsia="Calibri" w:hAnsi="Arial" w:cs="Arial"/>
          <w:b/>
        </w:rPr>
        <w:t>ª.-</w:t>
      </w:r>
      <w:r w:rsidR="00A6693F">
        <w:rPr>
          <w:rFonts w:ascii="Arial" w:eastAsia="Calibri" w:hAnsi="Arial" w:cs="Arial"/>
          <w:b/>
        </w:rPr>
        <w:t xml:space="preserve"> </w:t>
      </w:r>
      <w:r w:rsidR="003C1931">
        <w:rPr>
          <w:rFonts w:ascii="Arial" w:eastAsia="Calibri" w:hAnsi="Arial" w:cs="Arial"/>
        </w:rPr>
        <w:t>P</w:t>
      </w:r>
      <w:r w:rsidR="00884283" w:rsidRPr="00BD1B4B">
        <w:rPr>
          <w:rFonts w:ascii="Arial" w:eastAsia="Calibri" w:hAnsi="Arial" w:cs="Arial"/>
        </w:rPr>
        <w:t>roducto</w:t>
      </w:r>
      <w:r w:rsidR="00884283">
        <w:rPr>
          <w:rFonts w:ascii="Arial" w:eastAsia="Calibri" w:hAnsi="Arial" w:cs="Arial"/>
        </w:rPr>
        <w:t xml:space="preserve"> de la</w:t>
      </w:r>
      <w:r w:rsidR="00FE52A0">
        <w:rPr>
          <w:rFonts w:ascii="Arial" w:eastAsia="Calibri" w:hAnsi="Arial" w:cs="Arial"/>
        </w:rPr>
        <w:t>s reformas al Reglamento Interno del Instituto</w:t>
      </w:r>
      <w:r w:rsidR="003C1931">
        <w:rPr>
          <w:rFonts w:ascii="Arial" w:eastAsia="Calibri" w:hAnsi="Arial" w:cs="Arial"/>
        </w:rPr>
        <w:t xml:space="preserve"> y al de Comisiones de este Órgano Superior de Dirección</w:t>
      </w:r>
      <w:r w:rsidR="00FE52A0">
        <w:rPr>
          <w:rFonts w:ascii="Arial" w:eastAsia="Calibri" w:hAnsi="Arial" w:cs="Arial"/>
        </w:rPr>
        <w:t xml:space="preserve">, </w:t>
      </w:r>
      <w:r w:rsidR="003C1931">
        <w:rPr>
          <w:rFonts w:ascii="Arial" w:eastAsia="Calibri" w:hAnsi="Arial" w:cs="Arial"/>
        </w:rPr>
        <w:t>conforme a lo aprobado en los</w:t>
      </w:r>
      <w:r w:rsidR="00116BE3">
        <w:rPr>
          <w:rFonts w:ascii="Arial" w:eastAsia="Calibri" w:hAnsi="Arial" w:cs="Arial"/>
        </w:rPr>
        <w:t xml:space="preserve"> Acuerdo</w:t>
      </w:r>
      <w:r w:rsidR="003C1931">
        <w:rPr>
          <w:rFonts w:ascii="Arial" w:eastAsia="Calibri" w:hAnsi="Arial" w:cs="Arial"/>
        </w:rPr>
        <w:t>s</w:t>
      </w:r>
      <w:r w:rsidR="00116BE3">
        <w:rPr>
          <w:rFonts w:ascii="Arial" w:eastAsia="Calibri" w:hAnsi="Arial" w:cs="Arial"/>
        </w:rPr>
        <w:t xml:space="preserve"> descrito</w:t>
      </w:r>
      <w:r w:rsidR="003C1931">
        <w:rPr>
          <w:rFonts w:ascii="Arial" w:eastAsia="Calibri" w:hAnsi="Arial" w:cs="Arial"/>
        </w:rPr>
        <w:t>s</w:t>
      </w:r>
      <w:r w:rsidR="00116BE3">
        <w:rPr>
          <w:rFonts w:ascii="Arial" w:eastAsia="Calibri" w:hAnsi="Arial" w:cs="Arial"/>
        </w:rPr>
        <w:t xml:space="preserve"> en</w:t>
      </w:r>
      <w:r w:rsidR="00FE52A0">
        <w:rPr>
          <w:rFonts w:ascii="Arial" w:eastAsia="Calibri" w:hAnsi="Arial" w:cs="Arial"/>
        </w:rPr>
        <w:t xml:space="preserve"> el </w:t>
      </w:r>
      <w:r w:rsidR="00F6251B">
        <w:rPr>
          <w:rFonts w:ascii="Arial" w:eastAsia="Calibri" w:hAnsi="Arial" w:cs="Arial"/>
        </w:rPr>
        <w:t xml:space="preserve">Antecedente </w:t>
      </w:r>
      <w:r w:rsidR="00FE52A0" w:rsidRPr="003C1931">
        <w:rPr>
          <w:rFonts w:ascii="Arial" w:eastAsia="Calibri" w:hAnsi="Arial" w:cs="Arial"/>
        </w:rPr>
        <w:t>I</w:t>
      </w:r>
      <w:r w:rsidR="00F6251B">
        <w:rPr>
          <w:rFonts w:ascii="Arial" w:eastAsia="Calibri" w:hAnsi="Arial" w:cs="Arial"/>
        </w:rPr>
        <w:t>V</w:t>
      </w:r>
      <w:r w:rsidR="00902947">
        <w:rPr>
          <w:rFonts w:ascii="Arial" w:eastAsia="Calibri" w:hAnsi="Arial" w:cs="Arial"/>
        </w:rPr>
        <w:t xml:space="preserve"> de este Instrumento</w:t>
      </w:r>
      <w:r w:rsidR="00FE52A0" w:rsidRPr="003C1931">
        <w:rPr>
          <w:rFonts w:ascii="Arial" w:eastAsia="Calibri" w:hAnsi="Arial" w:cs="Arial"/>
        </w:rPr>
        <w:t xml:space="preserve">, </w:t>
      </w:r>
      <w:r w:rsidR="00902947">
        <w:rPr>
          <w:rFonts w:ascii="Arial" w:eastAsia="Calibri" w:hAnsi="Arial" w:cs="Arial"/>
        </w:rPr>
        <w:t xml:space="preserve">una vez que entrara en funciones la figura del titular del Órgano Interno de Control se eliminaría la Comisión de Fiscalización de este Consejo, lo cual aconteció el 27 de mayo del año que transcurre, tal y como se </w:t>
      </w:r>
      <w:r w:rsidR="00116BE3" w:rsidRPr="003C1931">
        <w:rPr>
          <w:rFonts w:ascii="Arial" w:eastAsia="Calibri" w:hAnsi="Arial" w:cs="Arial"/>
        </w:rPr>
        <w:t>señala</w:t>
      </w:r>
      <w:r w:rsidR="00902947">
        <w:rPr>
          <w:rFonts w:ascii="Arial" w:eastAsia="Calibri" w:hAnsi="Arial" w:cs="Arial"/>
        </w:rPr>
        <w:t xml:space="preserve"> </w:t>
      </w:r>
      <w:r w:rsidR="00116BE3" w:rsidRPr="003C1931">
        <w:rPr>
          <w:rFonts w:ascii="Arial" w:eastAsia="Calibri" w:hAnsi="Arial" w:cs="Arial"/>
        </w:rPr>
        <w:t>en el V Antecedente</w:t>
      </w:r>
      <w:r w:rsidR="00902947">
        <w:rPr>
          <w:rFonts w:ascii="Arial" w:eastAsia="Calibri" w:hAnsi="Arial" w:cs="Arial"/>
        </w:rPr>
        <w:t xml:space="preserve"> de este documento.</w:t>
      </w:r>
      <w:r w:rsidR="003C1931">
        <w:rPr>
          <w:rFonts w:ascii="Arial" w:eastAsia="Calibri" w:hAnsi="Arial" w:cs="Arial"/>
        </w:rPr>
        <w:t xml:space="preserve"> </w:t>
      </w:r>
    </w:p>
    <w:p w:rsidR="00DF520D" w:rsidRDefault="00DF520D" w:rsidP="00DF520D">
      <w:pPr>
        <w:spacing w:after="0" w:line="360" w:lineRule="auto"/>
        <w:jc w:val="both"/>
        <w:rPr>
          <w:rFonts w:ascii="Arial" w:eastAsia="Calibri" w:hAnsi="Arial" w:cs="Arial"/>
          <w:b/>
        </w:rPr>
      </w:pPr>
    </w:p>
    <w:p w:rsidR="003828AD" w:rsidRDefault="00BD1B4B" w:rsidP="00DF520D">
      <w:pPr>
        <w:spacing w:after="0" w:line="360" w:lineRule="auto"/>
        <w:jc w:val="both"/>
        <w:rPr>
          <w:rFonts w:ascii="Arial" w:eastAsia="Calibri" w:hAnsi="Arial" w:cs="Arial"/>
        </w:rPr>
      </w:pPr>
      <w:r>
        <w:rPr>
          <w:rFonts w:ascii="Arial" w:eastAsia="Calibri" w:hAnsi="Arial" w:cs="Arial"/>
          <w:b/>
        </w:rPr>
        <w:t>10</w:t>
      </w:r>
      <w:r w:rsidR="007242DB" w:rsidRPr="00A6693F">
        <w:rPr>
          <w:rFonts w:ascii="Arial" w:eastAsia="Calibri" w:hAnsi="Arial" w:cs="Arial"/>
          <w:b/>
        </w:rPr>
        <w:t>ª.-</w:t>
      </w:r>
      <w:r w:rsidR="007242DB">
        <w:rPr>
          <w:rFonts w:ascii="Arial" w:eastAsia="Calibri" w:hAnsi="Arial" w:cs="Arial"/>
          <w:b/>
        </w:rPr>
        <w:t xml:space="preserve"> </w:t>
      </w:r>
      <w:r w:rsidR="00902947">
        <w:rPr>
          <w:rFonts w:ascii="Arial" w:eastAsia="Calibri" w:hAnsi="Arial" w:cs="Arial"/>
        </w:rPr>
        <w:t xml:space="preserve">Para este Órgano Superior de Dirección no pasa desapercibido </w:t>
      </w:r>
      <w:r w:rsidR="003828AD">
        <w:rPr>
          <w:rFonts w:ascii="Arial" w:eastAsia="Calibri" w:hAnsi="Arial" w:cs="Arial"/>
        </w:rPr>
        <w:t xml:space="preserve">que el Consejero Electoral </w:t>
      </w:r>
      <w:r w:rsidR="00902947">
        <w:rPr>
          <w:rFonts w:ascii="Arial" w:eastAsia="Calibri" w:hAnsi="Arial" w:cs="Arial"/>
        </w:rPr>
        <w:t xml:space="preserve">que fungía como Presidente de </w:t>
      </w:r>
      <w:r w:rsidR="003828AD">
        <w:rPr>
          <w:rFonts w:ascii="Arial" w:eastAsia="Calibri" w:hAnsi="Arial" w:cs="Arial"/>
        </w:rPr>
        <w:t>la</w:t>
      </w:r>
      <w:r w:rsidR="00902947">
        <w:rPr>
          <w:rFonts w:ascii="Arial" w:eastAsia="Calibri" w:hAnsi="Arial" w:cs="Arial"/>
        </w:rPr>
        <w:t xml:space="preserve"> otrora</w:t>
      </w:r>
      <w:r w:rsidR="003828AD">
        <w:rPr>
          <w:rFonts w:ascii="Arial" w:eastAsia="Calibri" w:hAnsi="Arial" w:cs="Arial"/>
        </w:rPr>
        <w:t xml:space="preserve"> Comisión </w:t>
      </w:r>
      <w:r w:rsidR="00F22D78">
        <w:rPr>
          <w:rFonts w:ascii="Arial" w:eastAsia="Calibri" w:hAnsi="Arial" w:cs="Arial"/>
        </w:rPr>
        <w:t>de Fiscalización</w:t>
      </w:r>
      <w:r w:rsidR="003828AD">
        <w:rPr>
          <w:rFonts w:ascii="Arial" w:eastAsia="Calibri" w:hAnsi="Arial" w:cs="Arial"/>
        </w:rPr>
        <w:t xml:space="preserve">, </w:t>
      </w:r>
      <w:r w:rsidR="00902947">
        <w:rPr>
          <w:rFonts w:ascii="Arial" w:eastAsia="Calibri" w:hAnsi="Arial" w:cs="Arial"/>
        </w:rPr>
        <w:t xml:space="preserve">es decir </w:t>
      </w:r>
      <w:r w:rsidR="003828AD">
        <w:rPr>
          <w:rFonts w:ascii="Arial" w:eastAsia="Calibri" w:hAnsi="Arial" w:cs="Arial"/>
        </w:rPr>
        <w:t>el Lic. Raúl</w:t>
      </w:r>
      <w:r w:rsidR="00DF520D">
        <w:rPr>
          <w:rFonts w:ascii="Arial" w:eastAsia="Calibri" w:hAnsi="Arial" w:cs="Arial"/>
        </w:rPr>
        <w:t xml:space="preserve"> Maldonado Ramírez, solo presidí</w:t>
      </w:r>
      <w:r w:rsidR="003828AD">
        <w:rPr>
          <w:rFonts w:ascii="Arial" w:eastAsia="Calibri" w:hAnsi="Arial" w:cs="Arial"/>
        </w:rPr>
        <w:t>a dicha Comisión, deja</w:t>
      </w:r>
      <w:r w:rsidR="008D0282">
        <w:rPr>
          <w:rFonts w:ascii="Arial" w:eastAsia="Calibri" w:hAnsi="Arial" w:cs="Arial"/>
        </w:rPr>
        <w:t>ndo</w:t>
      </w:r>
      <w:r w:rsidR="008C53E6">
        <w:rPr>
          <w:rFonts w:ascii="Arial" w:eastAsia="Calibri" w:hAnsi="Arial" w:cs="Arial"/>
        </w:rPr>
        <w:t xml:space="preserve"> insubsistente </w:t>
      </w:r>
      <w:r w:rsidR="003828AD">
        <w:rPr>
          <w:rFonts w:ascii="Arial" w:eastAsia="Calibri" w:hAnsi="Arial" w:cs="Arial"/>
        </w:rPr>
        <w:t xml:space="preserve">lo mandatado en el </w:t>
      </w:r>
      <w:r w:rsidR="008C53E6">
        <w:rPr>
          <w:rFonts w:ascii="Arial" w:eastAsia="Calibri" w:hAnsi="Arial" w:cs="Arial"/>
        </w:rPr>
        <w:t xml:space="preserve">segundo párrafo del </w:t>
      </w:r>
      <w:r w:rsidR="003828AD">
        <w:rPr>
          <w:rFonts w:ascii="Arial" w:eastAsia="Calibri" w:hAnsi="Arial" w:cs="Arial"/>
        </w:rPr>
        <w:t xml:space="preserve">artículo 50 del Reglamento Interior de este Instituto, que señala lo siguiente: </w:t>
      </w:r>
    </w:p>
    <w:p w:rsidR="00DF520D" w:rsidRDefault="00DF520D" w:rsidP="00DF520D">
      <w:pPr>
        <w:spacing w:after="0" w:line="360" w:lineRule="auto"/>
        <w:ind w:left="1134"/>
        <w:jc w:val="both"/>
        <w:rPr>
          <w:rFonts w:ascii="Arial" w:eastAsia="Calibri" w:hAnsi="Arial" w:cs="Arial"/>
          <w:b/>
          <w:i/>
        </w:rPr>
      </w:pPr>
    </w:p>
    <w:p w:rsidR="003828AD" w:rsidRPr="0084774B" w:rsidRDefault="003828AD" w:rsidP="00DF520D">
      <w:pPr>
        <w:spacing w:after="0" w:line="360" w:lineRule="auto"/>
        <w:ind w:left="1134"/>
        <w:jc w:val="both"/>
        <w:rPr>
          <w:rFonts w:ascii="Arial" w:eastAsia="Calibri" w:hAnsi="Arial" w:cs="Arial"/>
          <w:i/>
        </w:rPr>
      </w:pPr>
      <w:r w:rsidRPr="0084774B">
        <w:rPr>
          <w:rFonts w:ascii="Arial" w:eastAsia="Calibri" w:hAnsi="Arial" w:cs="Arial"/>
          <w:b/>
          <w:i/>
        </w:rPr>
        <w:t>Artículo 50.</w:t>
      </w:r>
      <w:r w:rsidRPr="0084774B">
        <w:rPr>
          <w:rFonts w:ascii="Arial" w:eastAsia="Calibri" w:hAnsi="Arial" w:cs="Arial"/>
          <w:i/>
        </w:rPr>
        <w:t xml:space="preserve"> Las Comisiones de Administración, Prerrogativas y Partidos Políticos; Comisión de Organización Electoral; Comisión de Capacitación y Educación Cívica; Comisión de Asuntos Jurídicos; Comisión Editorial y Medios de Comunicación; Comisión de Seguimiento al Servicio Profesional Electoral; Comisión de Denuncias y Quejas; y Comisión de Equidad, Paridad y Perspectiva de Género, se integrarán por tres Consejeros, designados por el Consejo, quienes podrán participar hasta en cuatro de ellas por un periodo de tres años, uno de los cuales será su Presidente y funcionarán de manera permanente. </w:t>
      </w:r>
    </w:p>
    <w:p w:rsidR="00DF520D" w:rsidRDefault="00DF520D" w:rsidP="00DF520D">
      <w:pPr>
        <w:spacing w:after="0" w:line="360" w:lineRule="auto"/>
        <w:ind w:left="1134"/>
        <w:jc w:val="both"/>
        <w:rPr>
          <w:rFonts w:ascii="Arial" w:eastAsia="Calibri" w:hAnsi="Arial" w:cs="Arial"/>
          <w:i/>
        </w:rPr>
      </w:pPr>
    </w:p>
    <w:p w:rsidR="003828AD" w:rsidRPr="0084774B" w:rsidRDefault="003828AD" w:rsidP="00DF520D">
      <w:pPr>
        <w:spacing w:after="0" w:line="360" w:lineRule="auto"/>
        <w:ind w:left="1134"/>
        <w:jc w:val="both"/>
        <w:rPr>
          <w:rFonts w:ascii="Arial" w:eastAsia="Calibri" w:hAnsi="Arial" w:cs="Arial"/>
          <w:b/>
          <w:i/>
        </w:rPr>
      </w:pPr>
      <w:r w:rsidRPr="0084774B">
        <w:rPr>
          <w:rFonts w:ascii="Arial" w:eastAsia="Calibri" w:hAnsi="Arial" w:cs="Arial"/>
          <w:i/>
        </w:rPr>
        <w:lastRenderedPageBreak/>
        <w:t xml:space="preserve">[…], </w:t>
      </w:r>
      <w:r w:rsidRPr="0084774B">
        <w:rPr>
          <w:rFonts w:ascii="Arial" w:eastAsia="Calibri" w:hAnsi="Arial" w:cs="Arial"/>
          <w:b/>
          <w:i/>
        </w:rPr>
        <w:t>debiendo cada consejero electoral presidir al menos una de las comisiones permanentes establecidas en el párrafo anterior.</w:t>
      </w:r>
    </w:p>
    <w:p w:rsidR="00DF520D" w:rsidRDefault="00DF520D" w:rsidP="00DF520D">
      <w:pPr>
        <w:spacing w:after="0" w:line="360" w:lineRule="auto"/>
        <w:jc w:val="both"/>
        <w:rPr>
          <w:rFonts w:ascii="Arial" w:eastAsia="Calibri" w:hAnsi="Arial" w:cs="Arial"/>
        </w:rPr>
      </w:pPr>
    </w:p>
    <w:p w:rsidR="00847F29" w:rsidRDefault="00847043" w:rsidP="00DF520D">
      <w:pPr>
        <w:spacing w:after="0" w:line="360" w:lineRule="auto"/>
        <w:jc w:val="both"/>
        <w:rPr>
          <w:rFonts w:ascii="Arial" w:eastAsia="Calibri" w:hAnsi="Arial" w:cs="Arial"/>
        </w:rPr>
      </w:pPr>
      <w:r>
        <w:rPr>
          <w:rFonts w:ascii="Arial" w:eastAsia="Calibri" w:hAnsi="Arial" w:cs="Arial"/>
        </w:rPr>
        <w:t xml:space="preserve">En </w:t>
      </w:r>
      <w:r w:rsidR="008D0282">
        <w:rPr>
          <w:rFonts w:ascii="Arial" w:eastAsia="Calibri" w:hAnsi="Arial" w:cs="Arial"/>
        </w:rPr>
        <w:t>virtud de lo anterior, es necesario</w:t>
      </w:r>
      <w:r w:rsidR="008C53E6">
        <w:rPr>
          <w:rFonts w:ascii="Arial" w:eastAsia="Calibri" w:hAnsi="Arial" w:cs="Arial"/>
        </w:rPr>
        <w:t xml:space="preserve"> que este Consejo actúe en consecuencia y tome las medidas pertinentes para acatar sus propios ordenamientos, por lo que deberá designar al Consejero de mérito como P</w:t>
      </w:r>
      <w:r w:rsidR="008D0282">
        <w:rPr>
          <w:rFonts w:ascii="Arial" w:eastAsia="Calibri" w:hAnsi="Arial" w:cs="Arial"/>
        </w:rPr>
        <w:t>residente en una de las Comis</w:t>
      </w:r>
      <w:r w:rsidR="008C53E6">
        <w:rPr>
          <w:rFonts w:ascii="Arial" w:eastAsia="Calibri" w:hAnsi="Arial" w:cs="Arial"/>
        </w:rPr>
        <w:t>iones Permanentes del Instituto, a efecto de que cada Consejera y Consejero Electoral presida al menos una de las mismas; en tal sentido, y una vez que se han tomado</w:t>
      </w:r>
      <w:r w:rsidR="008D0282">
        <w:rPr>
          <w:rFonts w:ascii="Arial" w:eastAsia="Calibri" w:hAnsi="Arial" w:cs="Arial"/>
        </w:rPr>
        <w:t xml:space="preserve"> en consideración</w:t>
      </w:r>
      <w:r w:rsidR="008C53E6">
        <w:rPr>
          <w:rFonts w:ascii="Arial" w:eastAsia="Calibri" w:hAnsi="Arial" w:cs="Arial"/>
        </w:rPr>
        <w:t xml:space="preserve"> las opciones y ajustes de cada uno de los órganos colegiados a que se refiere el artículo 47 del Reglamento Interior de este Instituto</w:t>
      </w:r>
      <w:r w:rsidR="008D0282">
        <w:rPr>
          <w:rFonts w:ascii="Arial" w:eastAsia="Calibri" w:hAnsi="Arial" w:cs="Arial"/>
        </w:rPr>
        <w:t>, es viable</w:t>
      </w:r>
      <w:r w:rsidR="008C53E6">
        <w:rPr>
          <w:rFonts w:ascii="Arial" w:eastAsia="Calibri" w:hAnsi="Arial" w:cs="Arial"/>
        </w:rPr>
        <w:t xml:space="preserve"> proponer la renovación de la P</w:t>
      </w:r>
      <w:r w:rsidR="008D0282">
        <w:rPr>
          <w:rFonts w:ascii="Arial" w:eastAsia="Calibri" w:hAnsi="Arial" w:cs="Arial"/>
        </w:rPr>
        <w:t>residencia de la Comisión de Denuncias y Quejas de es</w:t>
      </w:r>
      <w:r w:rsidR="001E7459">
        <w:rPr>
          <w:rFonts w:ascii="Arial" w:eastAsia="Calibri" w:hAnsi="Arial" w:cs="Arial"/>
        </w:rPr>
        <w:t>t</w:t>
      </w:r>
      <w:r w:rsidR="008D0282">
        <w:rPr>
          <w:rFonts w:ascii="Arial" w:eastAsia="Calibri" w:hAnsi="Arial" w:cs="Arial"/>
        </w:rPr>
        <w:t xml:space="preserve">e órgano electoral. </w:t>
      </w:r>
    </w:p>
    <w:p w:rsidR="00DF520D" w:rsidRDefault="00DF520D" w:rsidP="00DF520D">
      <w:pPr>
        <w:spacing w:after="0" w:line="360" w:lineRule="auto"/>
        <w:jc w:val="both"/>
        <w:rPr>
          <w:rFonts w:ascii="Arial" w:eastAsia="Calibri" w:hAnsi="Arial" w:cs="Arial"/>
          <w:b/>
        </w:rPr>
      </w:pPr>
    </w:p>
    <w:p w:rsidR="00922277" w:rsidRDefault="008C53E6" w:rsidP="00DF520D">
      <w:pPr>
        <w:spacing w:after="0" w:line="360" w:lineRule="auto"/>
        <w:jc w:val="both"/>
        <w:rPr>
          <w:rFonts w:ascii="Arial" w:eastAsia="Calibri" w:hAnsi="Arial" w:cs="Arial"/>
        </w:rPr>
      </w:pPr>
      <w:r>
        <w:rPr>
          <w:rFonts w:ascii="Arial" w:eastAsia="Calibri" w:hAnsi="Arial" w:cs="Arial"/>
          <w:b/>
        </w:rPr>
        <w:t>11</w:t>
      </w:r>
      <w:r w:rsidR="00922277" w:rsidRPr="00A6693F">
        <w:rPr>
          <w:rFonts w:ascii="Arial" w:eastAsia="Calibri" w:hAnsi="Arial" w:cs="Arial"/>
          <w:b/>
        </w:rPr>
        <w:t>ª.-</w:t>
      </w:r>
      <w:r w:rsidR="00922277">
        <w:rPr>
          <w:rFonts w:ascii="Arial" w:eastAsia="Calibri" w:hAnsi="Arial" w:cs="Arial"/>
          <w:b/>
        </w:rPr>
        <w:t xml:space="preserve"> </w:t>
      </w:r>
      <w:r w:rsidR="00620273">
        <w:rPr>
          <w:rFonts w:ascii="Arial" w:eastAsia="Calibri" w:hAnsi="Arial" w:cs="Arial"/>
        </w:rPr>
        <w:t>T</w:t>
      </w:r>
      <w:r w:rsidR="00620273" w:rsidRPr="00620273">
        <w:rPr>
          <w:rFonts w:ascii="Arial" w:eastAsia="Calibri" w:hAnsi="Arial" w:cs="Arial"/>
        </w:rPr>
        <w:t>al y como</w:t>
      </w:r>
      <w:r w:rsidR="00620273">
        <w:rPr>
          <w:rFonts w:ascii="Arial" w:eastAsia="Calibri" w:hAnsi="Arial" w:cs="Arial"/>
          <w:b/>
        </w:rPr>
        <w:t xml:space="preserve"> </w:t>
      </w:r>
      <w:r w:rsidR="00620273">
        <w:rPr>
          <w:rFonts w:ascii="Arial" w:eastAsia="Calibri" w:hAnsi="Arial" w:cs="Arial"/>
        </w:rPr>
        <w:t>se señaló en la 8ª Consideración de este documento, e</w:t>
      </w:r>
      <w:r w:rsidR="008D0282" w:rsidRPr="008D0282">
        <w:rPr>
          <w:rFonts w:ascii="Arial" w:eastAsia="Calibri" w:hAnsi="Arial" w:cs="Arial"/>
        </w:rPr>
        <w:t xml:space="preserve">l </w:t>
      </w:r>
      <w:r w:rsidR="00620273" w:rsidRPr="008D0282">
        <w:rPr>
          <w:rFonts w:ascii="Arial" w:eastAsia="Calibri" w:hAnsi="Arial" w:cs="Arial"/>
        </w:rPr>
        <w:t xml:space="preserve">tercer párrafo </w:t>
      </w:r>
      <w:r w:rsidR="00620273">
        <w:rPr>
          <w:rFonts w:ascii="Arial" w:eastAsia="Calibri" w:hAnsi="Arial" w:cs="Arial"/>
        </w:rPr>
        <w:t>del artículo 304</w:t>
      </w:r>
      <w:r w:rsidR="008D0282" w:rsidRPr="008D0282">
        <w:rPr>
          <w:rFonts w:ascii="Arial" w:eastAsia="Calibri" w:hAnsi="Arial" w:cs="Arial"/>
        </w:rPr>
        <w:t xml:space="preserve"> del Código Electoral del Estado </w:t>
      </w:r>
      <w:r w:rsidR="008D0282">
        <w:rPr>
          <w:rFonts w:ascii="Arial" w:eastAsia="Calibri" w:hAnsi="Arial" w:cs="Arial"/>
        </w:rPr>
        <w:t>menciona que l</w:t>
      </w:r>
      <w:r w:rsidR="008D0282" w:rsidRPr="008D0282">
        <w:rPr>
          <w:rFonts w:ascii="Arial" w:eastAsia="Calibri" w:hAnsi="Arial" w:cs="Arial"/>
        </w:rPr>
        <w:t xml:space="preserve">a Comisión </w:t>
      </w:r>
      <w:r w:rsidR="001E7459">
        <w:rPr>
          <w:rFonts w:ascii="Arial" w:eastAsia="Calibri" w:hAnsi="Arial" w:cs="Arial"/>
        </w:rPr>
        <w:t>de Denuncias y Quejas</w:t>
      </w:r>
      <w:r w:rsidR="008D0282" w:rsidRPr="008D0282">
        <w:rPr>
          <w:rFonts w:ascii="Arial" w:eastAsia="Calibri" w:hAnsi="Arial" w:cs="Arial"/>
        </w:rPr>
        <w:t xml:space="preserve">, se integrará por tres </w:t>
      </w:r>
      <w:r w:rsidR="00620273">
        <w:rPr>
          <w:rFonts w:ascii="Arial" w:eastAsia="Calibri" w:hAnsi="Arial" w:cs="Arial"/>
        </w:rPr>
        <w:t xml:space="preserve">Consejeras y </w:t>
      </w:r>
      <w:r w:rsidR="008D0282" w:rsidRPr="008D0282">
        <w:rPr>
          <w:rFonts w:ascii="Arial" w:eastAsia="Calibri" w:hAnsi="Arial" w:cs="Arial"/>
        </w:rPr>
        <w:t xml:space="preserve">Consejeros Electorales, quienes serán </w:t>
      </w:r>
      <w:r w:rsidR="00620273">
        <w:rPr>
          <w:rFonts w:ascii="Arial" w:eastAsia="Calibri" w:hAnsi="Arial" w:cs="Arial"/>
        </w:rPr>
        <w:t xml:space="preserve">designadas y </w:t>
      </w:r>
      <w:r w:rsidR="008D0282" w:rsidRPr="008D0282">
        <w:rPr>
          <w:rFonts w:ascii="Arial" w:eastAsia="Calibri" w:hAnsi="Arial" w:cs="Arial"/>
        </w:rPr>
        <w:t xml:space="preserve">designados por el Consejo General </w:t>
      </w:r>
      <w:r w:rsidR="00922277">
        <w:rPr>
          <w:rFonts w:ascii="Arial" w:eastAsia="Calibri" w:hAnsi="Arial" w:cs="Arial"/>
        </w:rPr>
        <w:t>para un periodo de tres años.</w:t>
      </w:r>
    </w:p>
    <w:p w:rsidR="00DF520D" w:rsidRDefault="00DF520D" w:rsidP="00DF520D">
      <w:pPr>
        <w:spacing w:after="0" w:line="360" w:lineRule="auto"/>
        <w:jc w:val="both"/>
        <w:rPr>
          <w:rFonts w:ascii="Arial" w:eastAsia="Calibri" w:hAnsi="Arial" w:cs="Arial"/>
        </w:rPr>
      </w:pPr>
    </w:p>
    <w:p w:rsidR="002477C5" w:rsidRDefault="002477C5" w:rsidP="00DF520D">
      <w:pPr>
        <w:spacing w:after="0" w:line="360" w:lineRule="auto"/>
        <w:jc w:val="both"/>
        <w:rPr>
          <w:rFonts w:ascii="Arial" w:eastAsia="Calibri" w:hAnsi="Arial" w:cs="Arial"/>
        </w:rPr>
      </w:pPr>
      <w:r>
        <w:rPr>
          <w:rFonts w:ascii="Arial" w:eastAsia="Calibri" w:hAnsi="Arial" w:cs="Arial"/>
        </w:rPr>
        <w:t>No es óbice mencionar que,</w:t>
      </w:r>
      <w:r w:rsidR="00620273">
        <w:rPr>
          <w:rFonts w:ascii="Arial" w:eastAsia="Calibri" w:hAnsi="Arial" w:cs="Arial"/>
        </w:rPr>
        <w:t xml:space="preserve"> respecto a la propuesta a que se refiere el último párrafo de la Consideración que antecede,</w:t>
      </w:r>
      <w:r>
        <w:rPr>
          <w:rFonts w:ascii="Arial" w:eastAsia="Calibri" w:hAnsi="Arial" w:cs="Arial"/>
        </w:rPr>
        <w:t xml:space="preserve"> con fundamento en el artículo antes referenciado, la Comisión Permanente de Denuncias y Quejas seguirá conformada con las mismas Consejeras y Consejero integrantes, hasta que concluya el periodo de tres años contado a partir del Acuerdo de su designación. </w:t>
      </w:r>
    </w:p>
    <w:p w:rsidR="00DF520D" w:rsidRDefault="00DF520D" w:rsidP="00DF520D">
      <w:pPr>
        <w:spacing w:after="0" w:line="360" w:lineRule="auto"/>
        <w:jc w:val="both"/>
        <w:rPr>
          <w:rFonts w:ascii="Arial" w:eastAsia="Calibri" w:hAnsi="Arial" w:cs="Arial"/>
        </w:rPr>
      </w:pPr>
    </w:p>
    <w:p w:rsidR="00884283" w:rsidRDefault="00620273" w:rsidP="00DF520D">
      <w:pPr>
        <w:spacing w:after="0" w:line="360" w:lineRule="auto"/>
        <w:jc w:val="both"/>
        <w:rPr>
          <w:rFonts w:ascii="Arial" w:eastAsia="Calibri" w:hAnsi="Arial" w:cs="Arial"/>
        </w:rPr>
      </w:pPr>
      <w:r>
        <w:rPr>
          <w:rFonts w:ascii="Arial" w:eastAsia="Calibri" w:hAnsi="Arial" w:cs="Arial"/>
        </w:rPr>
        <w:t>En esa tesitura, y en virtud de</w:t>
      </w:r>
      <w:r w:rsidR="00922277">
        <w:rPr>
          <w:rFonts w:ascii="Arial" w:eastAsia="Calibri" w:hAnsi="Arial" w:cs="Arial"/>
        </w:rPr>
        <w:t xml:space="preserve"> las consideraciones vertidas con anterioridad, este Órgano Superior de Direcci</w:t>
      </w:r>
      <w:r>
        <w:rPr>
          <w:rFonts w:ascii="Arial" w:eastAsia="Calibri" w:hAnsi="Arial" w:cs="Arial"/>
        </w:rPr>
        <w:t>ón propone la renovación de la P</w:t>
      </w:r>
      <w:r w:rsidR="00922277">
        <w:rPr>
          <w:rFonts w:ascii="Arial" w:eastAsia="Calibri" w:hAnsi="Arial" w:cs="Arial"/>
        </w:rPr>
        <w:t xml:space="preserve">residencia de la Comisión de Denuncias y Quejas de este Instituto, </w:t>
      </w:r>
      <w:r>
        <w:rPr>
          <w:rFonts w:ascii="Arial" w:eastAsia="Calibri" w:hAnsi="Arial" w:cs="Arial"/>
        </w:rPr>
        <w:t>para quedar como a continuación se describe</w:t>
      </w:r>
      <w:r w:rsidR="00922277">
        <w:rPr>
          <w:rFonts w:ascii="Arial" w:eastAsia="Calibri" w:hAnsi="Arial" w:cs="Arial"/>
        </w:rPr>
        <w:t xml:space="preserve">: </w:t>
      </w:r>
    </w:p>
    <w:p w:rsidR="00DF520D" w:rsidRDefault="00DF520D" w:rsidP="00DF520D">
      <w:pPr>
        <w:spacing w:after="0" w:line="360" w:lineRule="auto"/>
        <w:jc w:val="both"/>
        <w:rPr>
          <w:rFonts w:ascii="Arial" w:eastAsia="Calibri" w:hAnsi="Arial" w:cs="Arial"/>
        </w:rPr>
      </w:pPr>
    </w:p>
    <w:tbl>
      <w:tblPr>
        <w:tblStyle w:val="Tabladecuadrcula31"/>
        <w:tblW w:w="6487" w:type="dxa"/>
        <w:jc w:val="center"/>
        <w:tblInd w:w="0" w:type="dxa"/>
        <w:tblLook w:val="04A0" w:firstRow="1" w:lastRow="0" w:firstColumn="1" w:lastColumn="0" w:noHBand="0" w:noVBand="1"/>
      </w:tblPr>
      <w:tblGrid>
        <w:gridCol w:w="2398"/>
        <w:gridCol w:w="4089"/>
      </w:tblGrid>
      <w:tr w:rsidR="00847043" w:rsidTr="00620273">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100" w:firstRow="0" w:lastRow="0" w:firstColumn="1" w:lastColumn="0" w:oddVBand="0" w:evenVBand="0" w:oddHBand="0" w:evenHBand="0" w:firstRowFirstColumn="1" w:firstRowLastColumn="0" w:lastRowFirstColumn="0" w:lastRowLastColumn="0"/>
            <w:tcW w:w="6487" w:type="dxa"/>
            <w:gridSpan w:val="2"/>
            <w:vAlign w:val="center"/>
            <w:hideMark/>
          </w:tcPr>
          <w:p w:rsidR="00847043" w:rsidRDefault="00847043" w:rsidP="00620273">
            <w:pPr>
              <w:jc w:val="left"/>
              <w:rPr>
                <w:rFonts w:ascii="Arial" w:hAnsi="Arial" w:cs="Arial"/>
                <w:sz w:val="22"/>
                <w:szCs w:val="22"/>
                <w:lang w:eastAsia="en-US"/>
              </w:rPr>
            </w:pPr>
            <w:r>
              <w:rPr>
                <w:rFonts w:ascii="Arial" w:hAnsi="Arial" w:cs="Arial"/>
                <w:sz w:val="22"/>
                <w:szCs w:val="22"/>
                <w:lang w:eastAsia="en-US"/>
              </w:rPr>
              <w:t>COMISIÓN DE DENUNCIAS Y QUEJAS</w:t>
            </w:r>
          </w:p>
        </w:tc>
      </w:tr>
      <w:tr w:rsidR="00847043" w:rsidTr="00620273">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2398" w:type="dxa"/>
            <w:tcBorders>
              <w:right w:val="single" w:sz="4" w:space="0" w:color="666666"/>
            </w:tcBorders>
            <w:vAlign w:val="center"/>
            <w:hideMark/>
          </w:tcPr>
          <w:p w:rsidR="00847043" w:rsidRDefault="00847043" w:rsidP="00620273">
            <w:pPr>
              <w:jc w:val="left"/>
              <w:rPr>
                <w:rFonts w:ascii="Arial" w:hAnsi="Arial" w:cs="Arial"/>
                <w:sz w:val="22"/>
                <w:szCs w:val="22"/>
                <w:lang w:eastAsia="en-US"/>
              </w:rPr>
            </w:pPr>
            <w:r>
              <w:rPr>
                <w:rFonts w:ascii="Arial" w:hAnsi="Arial" w:cs="Arial"/>
                <w:sz w:val="22"/>
                <w:szCs w:val="22"/>
                <w:lang w:eastAsia="en-US"/>
              </w:rPr>
              <w:t>Consejer</w:t>
            </w:r>
            <w:r w:rsidR="00F61D6C">
              <w:rPr>
                <w:rFonts w:ascii="Arial" w:hAnsi="Arial" w:cs="Arial"/>
                <w:sz w:val="22"/>
                <w:szCs w:val="22"/>
                <w:lang w:eastAsia="en-US"/>
              </w:rPr>
              <w:t>o Presidente</w:t>
            </w:r>
          </w:p>
        </w:tc>
        <w:tc>
          <w:tcPr>
            <w:tcW w:w="4089" w:type="dxa"/>
            <w:tcBorders>
              <w:top w:val="single" w:sz="4" w:space="0" w:color="666666"/>
              <w:left w:val="single" w:sz="4" w:space="0" w:color="666666"/>
              <w:bottom w:val="single" w:sz="4" w:space="0" w:color="666666"/>
              <w:right w:val="single" w:sz="4" w:space="0" w:color="666666"/>
            </w:tcBorders>
            <w:vAlign w:val="center"/>
          </w:tcPr>
          <w:p w:rsidR="00847043" w:rsidRDefault="00F61D6C" w:rsidP="0062027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Lic. Raúl Maldonado Ramírez</w:t>
            </w:r>
          </w:p>
        </w:tc>
      </w:tr>
      <w:tr w:rsidR="00847043" w:rsidTr="00620273">
        <w:trPr>
          <w:trHeight w:val="406"/>
          <w:jc w:val="center"/>
        </w:trPr>
        <w:tc>
          <w:tcPr>
            <w:cnfStyle w:val="001000000000" w:firstRow="0" w:lastRow="0" w:firstColumn="1" w:lastColumn="0" w:oddVBand="0" w:evenVBand="0" w:oddHBand="0" w:evenHBand="0" w:firstRowFirstColumn="0" w:firstRowLastColumn="0" w:lastRowFirstColumn="0" w:lastRowLastColumn="0"/>
            <w:tcW w:w="2398" w:type="dxa"/>
            <w:tcBorders>
              <w:right w:val="single" w:sz="4" w:space="0" w:color="666666"/>
            </w:tcBorders>
            <w:vAlign w:val="center"/>
            <w:hideMark/>
          </w:tcPr>
          <w:p w:rsidR="00847043" w:rsidRDefault="00847043" w:rsidP="00620273">
            <w:pPr>
              <w:jc w:val="left"/>
              <w:rPr>
                <w:rFonts w:ascii="Arial" w:hAnsi="Arial" w:cs="Arial"/>
                <w:sz w:val="22"/>
                <w:szCs w:val="22"/>
                <w:lang w:eastAsia="en-US"/>
              </w:rPr>
            </w:pPr>
            <w:r>
              <w:rPr>
                <w:rFonts w:ascii="Arial" w:hAnsi="Arial" w:cs="Arial"/>
                <w:sz w:val="22"/>
                <w:szCs w:val="22"/>
                <w:lang w:eastAsia="en-US"/>
              </w:rPr>
              <w:t>Consejera Integrante</w:t>
            </w:r>
          </w:p>
        </w:tc>
        <w:tc>
          <w:tcPr>
            <w:tcW w:w="4089" w:type="dxa"/>
            <w:tcBorders>
              <w:top w:val="single" w:sz="4" w:space="0" w:color="666666"/>
              <w:left w:val="single" w:sz="4" w:space="0" w:color="666666"/>
              <w:bottom w:val="single" w:sz="4" w:space="0" w:color="666666"/>
              <w:right w:val="single" w:sz="4" w:space="0" w:color="666666"/>
            </w:tcBorders>
            <w:vAlign w:val="center"/>
            <w:hideMark/>
          </w:tcPr>
          <w:p w:rsidR="00847043" w:rsidRDefault="00620273" w:rsidP="0062027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 xml:space="preserve">Licda. Ayizde Anguiano Polanco </w:t>
            </w:r>
          </w:p>
        </w:tc>
      </w:tr>
      <w:tr w:rsidR="00847043" w:rsidTr="00620273">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2398" w:type="dxa"/>
            <w:tcBorders>
              <w:right w:val="single" w:sz="4" w:space="0" w:color="666666"/>
            </w:tcBorders>
            <w:vAlign w:val="center"/>
            <w:hideMark/>
          </w:tcPr>
          <w:p w:rsidR="00847043" w:rsidRDefault="00F61D6C" w:rsidP="00620273">
            <w:pPr>
              <w:jc w:val="left"/>
              <w:rPr>
                <w:rFonts w:ascii="Arial" w:hAnsi="Arial" w:cs="Arial"/>
                <w:sz w:val="22"/>
                <w:szCs w:val="22"/>
                <w:lang w:eastAsia="en-US"/>
              </w:rPr>
            </w:pPr>
            <w:r>
              <w:rPr>
                <w:rFonts w:ascii="Arial" w:hAnsi="Arial" w:cs="Arial"/>
                <w:sz w:val="22"/>
                <w:szCs w:val="22"/>
                <w:lang w:eastAsia="en-US"/>
              </w:rPr>
              <w:t>Consejera</w:t>
            </w:r>
            <w:r w:rsidR="00847043">
              <w:rPr>
                <w:rFonts w:ascii="Arial" w:hAnsi="Arial" w:cs="Arial"/>
                <w:sz w:val="22"/>
                <w:szCs w:val="22"/>
                <w:lang w:eastAsia="en-US"/>
              </w:rPr>
              <w:t xml:space="preserve"> Integrante</w:t>
            </w:r>
          </w:p>
        </w:tc>
        <w:tc>
          <w:tcPr>
            <w:tcW w:w="4089" w:type="dxa"/>
            <w:tcBorders>
              <w:top w:val="single" w:sz="4" w:space="0" w:color="666666"/>
              <w:left w:val="single" w:sz="4" w:space="0" w:color="666666"/>
              <w:bottom w:val="single" w:sz="4" w:space="0" w:color="666666"/>
              <w:right w:val="single" w:sz="4" w:space="0" w:color="666666"/>
            </w:tcBorders>
            <w:vAlign w:val="center"/>
            <w:hideMark/>
          </w:tcPr>
          <w:p w:rsidR="00847043" w:rsidRDefault="00620273" w:rsidP="0062027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Pr>
                <w:rFonts w:ascii="Arial" w:hAnsi="Arial" w:cs="Arial"/>
                <w:sz w:val="22"/>
                <w:szCs w:val="22"/>
                <w:lang w:eastAsia="en-US"/>
              </w:rPr>
              <w:t>Mtra. Arlen Alejandra Martínez Fuentes</w:t>
            </w:r>
          </w:p>
        </w:tc>
      </w:tr>
    </w:tbl>
    <w:p w:rsidR="008324B5" w:rsidRDefault="008324B5" w:rsidP="00DF520D">
      <w:pPr>
        <w:spacing w:after="0" w:line="360" w:lineRule="auto"/>
        <w:rPr>
          <w:rFonts w:ascii="Arial" w:eastAsia="Calibri" w:hAnsi="Arial" w:cs="Arial"/>
          <w:b/>
        </w:rPr>
      </w:pPr>
    </w:p>
    <w:p w:rsidR="008324B5" w:rsidRDefault="00F61D6C" w:rsidP="00DF520D">
      <w:pPr>
        <w:spacing w:after="0" w:line="360" w:lineRule="auto"/>
        <w:jc w:val="both"/>
        <w:rPr>
          <w:rFonts w:ascii="Arial" w:eastAsia="Calibri" w:hAnsi="Arial" w:cs="Arial"/>
        </w:rPr>
      </w:pPr>
      <w:r>
        <w:rPr>
          <w:rFonts w:ascii="Arial" w:eastAsia="Calibri" w:hAnsi="Arial" w:cs="Arial"/>
        </w:rPr>
        <w:lastRenderedPageBreak/>
        <w:t xml:space="preserve">Es de mencionarse </w:t>
      </w:r>
      <w:r w:rsidR="007A4580">
        <w:rPr>
          <w:rFonts w:ascii="Arial" w:eastAsia="Calibri" w:hAnsi="Arial" w:cs="Arial"/>
        </w:rPr>
        <w:t>que el</w:t>
      </w:r>
      <w:r>
        <w:rPr>
          <w:rFonts w:ascii="Arial" w:eastAsia="Calibri" w:hAnsi="Arial" w:cs="Arial"/>
        </w:rPr>
        <w:t xml:space="preserve"> artículo 6 del Reglamento de Comisiones del Instituto, </w:t>
      </w:r>
      <w:r w:rsidR="007A4580">
        <w:rPr>
          <w:rFonts w:ascii="Arial" w:eastAsia="Calibri" w:hAnsi="Arial" w:cs="Arial"/>
        </w:rPr>
        <w:t xml:space="preserve">determina que </w:t>
      </w:r>
      <w:r>
        <w:rPr>
          <w:rFonts w:ascii="Arial" w:eastAsia="Calibri" w:hAnsi="Arial" w:cs="Arial"/>
        </w:rPr>
        <w:t xml:space="preserve">la citada Comisión no cuenta con Secretaría Técnica, </w:t>
      </w:r>
      <w:r w:rsidR="00FC0C89">
        <w:rPr>
          <w:rFonts w:ascii="Arial" w:eastAsia="Calibri" w:hAnsi="Arial" w:cs="Arial"/>
        </w:rPr>
        <w:t xml:space="preserve">ni con la participación de voz y voto de los Comisionados de los partidos políticos. </w:t>
      </w:r>
    </w:p>
    <w:p w:rsidR="00F6251B" w:rsidRDefault="00F6251B" w:rsidP="00DF520D">
      <w:pPr>
        <w:spacing w:after="0" w:line="360" w:lineRule="auto"/>
        <w:jc w:val="both"/>
        <w:rPr>
          <w:rFonts w:ascii="Arial" w:eastAsia="Calibri" w:hAnsi="Arial" w:cs="Arial"/>
        </w:rPr>
      </w:pPr>
    </w:p>
    <w:p w:rsidR="00F6251B" w:rsidRDefault="00F6251B" w:rsidP="00DF520D">
      <w:pPr>
        <w:spacing w:after="0" w:line="360" w:lineRule="auto"/>
        <w:jc w:val="both"/>
        <w:rPr>
          <w:rFonts w:ascii="Arial" w:eastAsia="Calibri" w:hAnsi="Arial" w:cs="Arial"/>
        </w:rPr>
      </w:pPr>
      <w:r>
        <w:rPr>
          <w:rFonts w:ascii="Arial" w:eastAsia="Calibri" w:hAnsi="Arial" w:cs="Arial"/>
        </w:rPr>
        <w:t xml:space="preserve">Finalmente, no es óbice mencionar que, como se mencionó en el II Antecedente de este Instrumento, este Órgano Superior de Dirección ya ha determinado el </w:t>
      </w:r>
      <w:r w:rsidRPr="00F6251B">
        <w:rPr>
          <w:rFonts w:ascii="Arial" w:eastAsia="Calibri" w:hAnsi="Arial" w:cs="Arial"/>
        </w:rPr>
        <w:t xml:space="preserve">orden de prelación que deberá considerarse en caso de ausencia de cualquiera de sus integrantes, para conformar la </w:t>
      </w:r>
      <w:r>
        <w:rPr>
          <w:rFonts w:ascii="Arial" w:eastAsia="Calibri" w:hAnsi="Arial" w:cs="Arial"/>
        </w:rPr>
        <w:t>C</w:t>
      </w:r>
      <w:r w:rsidRPr="00F6251B">
        <w:rPr>
          <w:rFonts w:ascii="Arial" w:eastAsia="Calibri" w:hAnsi="Arial" w:cs="Arial"/>
        </w:rPr>
        <w:t xml:space="preserve">omisión permanente de </w:t>
      </w:r>
      <w:r>
        <w:rPr>
          <w:rFonts w:ascii="Arial" w:eastAsia="Calibri" w:hAnsi="Arial" w:cs="Arial"/>
        </w:rPr>
        <w:t>D</w:t>
      </w:r>
      <w:r w:rsidRPr="00F6251B">
        <w:rPr>
          <w:rFonts w:ascii="Arial" w:eastAsia="Calibri" w:hAnsi="Arial" w:cs="Arial"/>
        </w:rPr>
        <w:t xml:space="preserve">enuncias y </w:t>
      </w:r>
      <w:r>
        <w:rPr>
          <w:rFonts w:ascii="Arial" w:eastAsia="Calibri" w:hAnsi="Arial" w:cs="Arial"/>
        </w:rPr>
        <w:t>Q</w:t>
      </w:r>
      <w:r w:rsidRPr="00F6251B">
        <w:rPr>
          <w:rFonts w:ascii="Arial" w:eastAsia="Calibri" w:hAnsi="Arial" w:cs="Arial"/>
        </w:rPr>
        <w:t>uejas</w:t>
      </w:r>
      <w:r w:rsidR="00F31D13">
        <w:rPr>
          <w:rFonts w:ascii="Arial" w:eastAsia="Calibri" w:hAnsi="Arial" w:cs="Arial"/>
        </w:rPr>
        <w:t xml:space="preserve">; en tal sentido, toda vez que, como se ha dicho en supralíneas, la integración de la referida Comisión no cambiará con la </w:t>
      </w:r>
      <w:r w:rsidR="005E6E25">
        <w:rPr>
          <w:rFonts w:ascii="Arial" w:eastAsia="Calibri" w:hAnsi="Arial" w:cs="Arial"/>
        </w:rPr>
        <w:t>renovación de la Presidencia en la forma que se propone, por lo que es dable afirmar que el orden de prelación determinado en el Acuerdo IEE/CG/A048/2018 seguirá vigente en sus términos.</w:t>
      </w:r>
    </w:p>
    <w:p w:rsidR="00E96F12" w:rsidRDefault="00E96F12" w:rsidP="00DF520D">
      <w:pPr>
        <w:spacing w:after="0" w:line="360" w:lineRule="auto"/>
        <w:jc w:val="both"/>
        <w:rPr>
          <w:rFonts w:ascii="Arial" w:eastAsia="Calibri" w:hAnsi="Arial" w:cs="Arial"/>
        </w:rPr>
      </w:pPr>
    </w:p>
    <w:p w:rsidR="00E96F12" w:rsidRDefault="00E96F12" w:rsidP="00DF520D">
      <w:pPr>
        <w:spacing w:after="0" w:line="360" w:lineRule="auto"/>
        <w:jc w:val="both"/>
        <w:rPr>
          <w:rFonts w:ascii="Arial" w:eastAsia="Calibri" w:hAnsi="Arial" w:cs="Arial"/>
        </w:rPr>
      </w:pPr>
      <w:r w:rsidRPr="00E96F12">
        <w:rPr>
          <w:rFonts w:ascii="Arial" w:eastAsia="Calibri" w:hAnsi="Arial" w:cs="Arial"/>
          <w:b/>
        </w:rPr>
        <w:t>1</w:t>
      </w:r>
      <w:r>
        <w:rPr>
          <w:rFonts w:ascii="Arial" w:eastAsia="Calibri" w:hAnsi="Arial" w:cs="Arial"/>
          <w:b/>
        </w:rPr>
        <w:t>2</w:t>
      </w:r>
      <w:r w:rsidRPr="00E96F12">
        <w:rPr>
          <w:rFonts w:ascii="Arial" w:eastAsia="Calibri" w:hAnsi="Arial" w:cs="Arial"/>
          <w:b/>
        </w:rPr>
        <w:t>ª.-</w:t>
      </w:r>
      <w:r w:rsidRPr="00E96F12">
        <w:rPr>
          <w:rFonts w:ascii="Arial" w:eastAsia="Calibri" w:hAnsi="Arial" w:cs="Arial"/>
        </w:rPr>
        <w:t xml:space="preserve"> </w:t>
      </w:r>
      <w:r w:rsidRPr="00E96F12">
        <w:rPr>
          <w:rFonts w:ascii="Arial" w:eastAsia="Times New Roman" w:hAnsi="Arial" w:cs="Arial"/>
          <w:lang w:val="es-ES" w:eastAsia="es-ES"/>
        </w:rPr>
        <w:t>Conforme a lo dispuesto por la fracción XXXIII del artículo 114, del Código Electoral del Estado, el Consejo General tiene facultades para dictar todo tipo de normas y previsiones para hacer efectivas las disposiciones del Código de la materia.</w:t>
      </w:r>
    </w:p>
    <w:p w:rsidR="00620273" w:rsidRDefault="00620273" w:rsidP="00DF520D">
      <w:pPr>
        <w:spacing w:after="0" w:line="360" w:lineRule="auto"/>
        <w:jc w:val="both"/>
        <w:rPr>
          <w:rFonts w:ascii="Arial" w:eastAsia="Calibri" w:hAnsi="Arial" w:cs="Arial"/>
        </w:rPr>
      </w:pPr>
    </w:p>
    <w:p w:rsidR="007A4580" w:rsidRDefault="007A4580" w:rsidP="00DF520D">
      <w:pPr>
        <w:spacing w:after="0" w:line="360" w:lineRule="auto"/>
        <w:jc w:val="both"/>
        <w:rPr>
          <w:rFonts w:ascii="Arial" w:hAnsi="Arial" w:cs="Arial"/>
        </w:rPr>
      </w:pPr>
      <w:r>
        <w:rPr>
          <w:rFonts w:ascii="Arial" w:eastAsia="Calibri" w:hAnsi="Arial" w:cs="Arial"/>
        </w:rPr>
        <w:t>En virtud de los antecedentes y las consideraciones expuestas y con fundamento en los preceptos legales citados en supralíneas, se emiten los siguientes puntos de</w:t>
      </w:r>
    </w:p>
    <w:p w:rsidR="00D94158" w:rsidRPr="00D94158" w:rsidRDefault="00D94158" w:rsidP="00DF520D">
      <w:pPr>
        <w:spacing w:after="0" w:line="360" w:lineRule="auto"/>
        <w:jc w:val="both"/>
        <w:rPr>
          <w:rFonts w:ascii="Arial" w:hAnsi="Arial" w:cs="Arial"/>
        </w:rPr>
      </w:pPr>
    </w:p>
    <w:p w:rsidR="007A4580" w:rsidRDefault="007A4580" w:rsidP="00DF520D">
      <w:pPr>
        <w:spacing w:after="0" w:line="360" w:lineRule="auto"/>
        <w:jc w:val="center"/>
        <w:rPr>
          <w:rFonts w:ascii="Arial" w:eastAsia="Calibri" w:hAnsi="Arial" w:cs="Arial"/>
          <w:b/>
        </w:rPr>
      </w:pPr>
      <w:r>
        <w:rPr>
          <w:rFonts w:ascii="Arial" w:eastAsia="Calibri" w:hAnsi="Arial" w:cs="Arial"/>
          <w:b/>
        </w:rPr>
        <w:t>A C U E R D O:</w:t>
      </w:r>
    </w:p>
    <w:p w:rsidR="007A4580" w:rsidRDefault="007A4580" w:rsidP="00DF520D">
      <w:pPr>
        <w:spacing w:after="0" w:line="360" w:lineRule="auto"/>
        <w:jc w:val="center"/>
        <w:rPr>
          <w:rFonts w:ascii="Arial" w:eastAsia="Calibri" w:hAnsi="Arial" w:cs="Arial"/>
          <w:b/>
        </w:rPr>
      </w:pPr>
    </w:p>
    <w:p w:rsidR="007A4580" w:rsidRDefault="007A4580" w:rsidP="00DF520D">
      <w:pPr>
        <w:spacing w:after="0" w:line="360" w:lineRule="auto"/>
        <w:jc w:val="both"/>
        <w:rPr>
          <w:rFonts w:ascii="Arial" w:eastAsia="Calibri" w:hAnsi="Arial" w:cs="Arial"/>
        </w:rPr>
      </w:pPr>
      <w:r>
        <w:rPr>
          <w:rFonts w:ascii="Arial" w:eastAsia="Calibri" w:hAnsi="Arial" w:cs="Arial"/>
          <w:b/>
        </w:rPr>
        <w:t>PRIMERO:</w:t>
      </w:r>
      <w:r>
        <w:rPr>
          <w:rFonts w:ascii="Arial" w:eastAsia="Calibri" w:hAnsi="Arial" w:cs="Arial"/>
        </w:rPr>
        <w:t xml:space="preserve"> Este Consejo General renueva la Presidencia de la Comisión Permanente de Denuncias y Quejas de este Instituto en los términos en que ha quedado expuesto en la Consideración </w:t>
      </w:r>
      <w:r w:rsidR="00620273">
        <w:rPr>
          <w:rFonts w:ascii="Arial" w:eastAsia="Calibri" w:hAnsi="Arial" w:cs="Arial"/>
        </w:rPr>
        <w:t>11</w:t>
      </w:r>
      <w:r>
        <w:rPr>
          <w:rFonts w:ascii="Arial" w:eastAsia="Calibri" w:hAnsi="Arial" w:cs="Arial"/>
        </w:rPr>
        <w:t>ª del presente documento.</w:t>
      </w:r>
    </w:p>
    <w:p w:rsidR="007A4580" w:rsidRDefault="007A4580" w:rsidP="00DF520D">
      <w:pPr>
        <w:spacing w:after="0" w:line="360" w:lineRule="auto"/>
        <w:jc w:val="both"/>
        <w:rPr>
          <w:rFonts w:ascii="Arial" w:eastAsia="Calibri" w:hAnsi="Arial" w:cs="Arial"/>
        </w:rPr>
      </w:pPr>
    </w:p>
    <w:p w:rsidR="007A4580" w:rsidRDefault="007A4580" w:rsidP="00DF520D">
      <w:pPr>
        <w:spacing w:after="0" w:line="360" w:lineRule="auto"/>
        <w:jc w:val="both"/>
        <w:rPr>
          <w:rFonts w:ascii="Arial" w:eastAsia="Calibri" w:hAnsi="Arial" w:cs="Arial"/>
        </w:rPr>
      </w:pPr>
      <w:r>
        <w:rPr>
          <w:rFonts w:ascii="Arial" w:hAnsi="Arial" w:cs="Arial"/>
          <w:b/>
          <w:bCs/>
        </w:rPr>
        <w:t xml:space="preserve">SEGUNDO: </w:t>
      </w:r>
      <w:r>
        <w:rPr>
          <w:rFonts w:ascii="Arial" w:eastAsia="Calibri" w:hAnsi="Arial" w:cs="Arial"/>
        </w:rPr>
        <w:t xml:space="preserve">Notifíquese el presente Acuerdo, por conducto de la Secretaría Ejecutiva, </w:t>
      </w:r>
      <w:r w:rsidR="00DC76E3">
        <w:rPr>
          <w:rFonts w:ascii="Arial" w:eastAsia="Calibri" w:hAnsi="Arial" w:cs="Arial"/>
        </w:rPr>
        <w:t>mediante</w:t>
      </w:r>
      <w:r w:rsidR="00C91BDE">
        <w:rPr>
          <w:rFonts w:ascii="Arial" w:eastAsia="Calibri" w:hAnsi="Arial" w:cs="Arial"/>
        </w:rPr>
        <w:t xml:space="preserve"> oficio </w:t>
      </w:r>
      <w:r>
        <w:rPr>
          <w:rFonts w:ascii="Arial" w:eastAsia="Calibri" w:hAnsi="Arial" w:cs="Arial"/>
        </w:rPr>
        <w:t xml:space="preserve">al Instituto Nacional Electoral, </w:t>
      </w:r>
      <w:r w:rsidR="00C91BDE">
        <w:rPr>
          <w:rFonts w:ascii="Arial" w:eastAsia="Calibri" w:hAnsi="Arial" w:cs="Arial"/>
        </w:rPr>
        <w:t>a través</w:t>
      </w:r>
      <w:r>
        <w:rPr>
          <w:rFonts w:ascii="Arial" w:eastAsia="Calibri" w:hAnsi="Arial" w:cs="Arial"/>
        </w:rPr>
        <w:t xml:space="preserve"> de</w:t>
      </w:r>
      <w:r w:rsidR="00C91BDE">
        <w:rPr>
          <w:rFonts w:ascii="Arial" w:eastAsia="Calibri" w:hAnsi="Arial" w:cs="Arial"/>
        </w:rPr>
        <w:t xml:space="preserve"> su</w:t>
      </w:r>
      <w:r>
        <w:rPr>
          <w:rFonts w:ascii="Arial" w:eastAsia="Calibri" w:hAnsi="Arial" w:cs="Arial"/>
        </w:rPr>
        <w:t xml:space="preserve"> Unidad Técnica de Vinculación con los Organismos Públicos Locales; a todos los Partidos Políticos acreditados</w:t>
      </w:r>
      <w:r w:rsidR="00C91BDE">
        <w:rPr>
          <w:rFonts w:ascii="Arial" w:eastAsia="Calibri" w:hAnsi="Arial" w:cs="Arial"/>
        </w:rPr>
        <w:t xml:space="preserve"> y con registro</w:t>
      </w:r>
      <w:r>
        <w:rPr>
          <w:rFonts w:ascii="Arial" w:eastAsia="Calibri" w:hAnsi="Arial" w:cs="Arial"/>
        </w:rPr>
        <w:t xml:space="preserve"> ante este Consejo General; </w:t>
      </w:r>
      <w:r w:rsidR="00C91BDE" w:rsidRPr="00C91BDE">
        <w:rPr>
          <w:rFonts w:ascii="Arial" w:eastAsia="Calibri" w:hAnsi="Arial" w:cs="Arial"/>
        </w:rPr>
        <w:t xml:space="preserve">y de forma electrónica al personal de este Organismo </w:t>
      </w:r>
      <w:r w:rsidR="00C91BDE">
        <w:rPr>
          <w:rFonts w:ascii="Arial" w:eastAsia="Calibri" w:hAnsi="Arial" w:cs="Arial"/>
        </w:rPr>
        <w:t>E</w:t>
      </w:r>
      <w:r w:rsidR="00C91BDE" w:rsidRPr="00C91BDE">
        <w:rPr>
          <w:rFonts w:ascii="Arial" w:eastAsia="Calibri" w:hAnsi="Arial" w:cs="Arial"/>
        </w:rPr>
        <w:t>lectoral,</w:t>
      </w:r>
      <w:r>
        <w:rPr>
          <w:rFonts w:ascii="Arial" w:eastAsia="Calibri" w:hAnsi="Arial" w:cs="Arial"/>
        </w:rPr>
        <w:t xml:space="preserve"> para que surtan los efectos legales y administrativos correspondientes.</w:t>
      </w:r>
    </w:p>
    <w:p w:rsidR="00D94158" w:rsidRDefault="00D94158" w:rsidP="00DF520D">
      <w:pPr>
        <w:spacing w:after="0" w:line="360" w:lineRule="auto"/>
        <w:jc w:val="both"/>
        <w:rPr>
          <w:rFonts w:ascii="Arial" w:eastAsia="Calibri" w:hAnsi="Arial" w:cs="Arial"/>
        </w:rPr>
      </w:pPr>
    </w:p>
    <w:p w:rsidR="00D94158" w:rsidRDefault="00D94158" w:rsidP="00D5447B">
      <w:pPr>
        <w:spacing w:after="0" w:line="360" w:lineRule="auto"/>
        <w:jc w:val="both"/>
        <w:rPr>
          <w:rFonts w:ascii="Arial" w:eastAsia="Calibri" w:hAnsi="Arial" w:cs="Arial"/>
        </w:rPr>
      </w:pPr>
      <w:r>
        <w:rPr>
          <w:rFonts w:ascii="Arial" w:eastAsia="Calibri" w:hAnsi="Arial" w:cs="Arial"/>
          <w:b/>
        </w:rPr>
        <w:lastRenderedPageBreak/>
        <w:t xml:space="preserve">TERCERO: </w:t>
      </w:r>
      <w:r w:rsidR="00C91BDE" w:rsidRPr="00C91BDE">
        <w:rPr>
          <w:rFonts w:ascii="Arial" w:eastAsia="Times New Roman" w:hAnsi="Arial" w:cs="Arial"/>
          <w:lang w:val="es-ES" w:eastAsia="es-E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p>
    <w:p w:rsidR="007A4580" w:rsidRDefault="007A4580" w:rsidP="00D5447B">
      <w:pPr>
        <w:spacing w:after="0" w:line="360" w:lineRule="auto"/>
        <w:jc w:val="both"/>
        <w:rPr>
          <w:rFonts w:ascii="Arial" w:eastAsia="Calibri" w:hAnsi="Arial" w:cs="Arial"/>
        </w:rPr>
      </w:pPr>
    </w:p>
    <w:p w:rsidR="00D5447B" w:rsidRPr="00D5447B" w:rsidRDefault="00D5447B" w:rsidP="00D5447B">
      <w:pPr>
        <w:spacing w:after="0" w:line="360" w:lineRule="auto"/>
        <w:jc w:val="both"/>
        <w:rPr>
          <w:rFonts w:ascii="Arial" w:eastAsia="Calibri" w:hAnsi="Arial" w:cs="Arial"/>
        </w:rPr>
      </w:pPr>
      <w:r w:rsidRPr="00D5447B">
        <w:rPr>
          <w:rFonts w:ascii="Arial" w:eastAsia="Calibri" w:hAnsi="Arial" w:cs="Arial"/>
        </w:rPr>
        <w:t xml:space="preserve">El presente Acuerdo fue aprobado en la Décima </w:t>
      </w:r>
      <w:r>
        <w:rPr>
          <w:rFonts w:ascii="Arial" w:eastAsia="Calibri" w:hAnsi="Arial" w:cs="Arial"/>
        </w:rPr>
        <w:t>Tercera</w:t>
      </w:r>
      <w:r w:rsidRPr="00D5447B">
        <w:rPr>
          <w:rFonts w:ascii="Arial" w:eastAsia="Calibri" w:hAnsi="Arial" w:cs="Arial"/>
        </w:rPr>
        <w:t xml:space="preserve"> Sesión Extraordinaria del Periodo Interproceso 2018-2020 del Consejo General, celebrada el </w:t>
      </w:r>
      <w:r>
        <w:rPr>
          <w:rFonts w:ascii="Arial" w:eastAsia="Calibri" w:hAnsi="Arial" w:cs="Arial"/>
        </w:rPr>
        <w:t>06</w:t>
      </w:r>
      <w:r w:rsidRPr="00D5447B">
        <w:rPr>
          <w:rFonts w:ascii="Arial" w:eastAsia="Calibri" w:hAnsi="Arial" w:cs="Arial"/>
        </w:rPr>
        <w:t xml:space="preserve"> (</w:t>
      </w:r>
      <w:r>
        <w:rPr>
          <w:rFonts w:ascii="Arial" w:eastAsia="Calibri" w:hAnsi="Arial" w:cs="Arial"/>
        </w:rPr>
        <w:t>seis</w:t>
      </w:r>
      <w:r w:rsidRPr="00D5447B">
        <w:rPr>
          <w:rFonts w:ascii="Arial" w:eastAsia="Calibri" w:hAnsi="Arial" w:cs="Arial"/>
        </w:rPr>
        <w:t xml:space="preserve">) de </w:t>
      </w:r>
      <w:r>
        <w:rPr>
          <w:rFonts w:ascii="Arial" w:eastAsia="Calibri" w:hAnsi="Arial" w:cs="Arial"/>
        </w:rPr>
        <w:t>junio</w:t>
      </w:r>
      <w:r w:rsidRPr="00D5447B">
        <w:rPr>
          <w:rFonts w:ascii="Arial" w:eastAsia="Calibri" w:hAnsi="Arial" w:cs="Arial"/>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D5447B" w:rsidRPr="00D5447B" w:rsidRDefault="00D5447B" w:rsidP="00D5447B">
      <w:pPr>
        <w:spacing w:after="0" w:line="360" w:lineRule="auto"/>
        <w:jc w:val="both"/>
        <w:rPr>
          <w:rFonts w:ascii="Arial" w:eastAsia="Calibri" w:hAnsi="Arial" w:cs="Arial"/>
          <w:sz w:val="4"/>
        </w:rPr>
      </w:pPr>
    </w:p>
    <w:tbl>
      <w:tblPr>
        <w:tblW w:w="0" w:type="auto"/>
        <w:tblInd w:w="104" w:type="dxa"/>
        <w:tblLook w:val="04A0" w:firstRow="1" w:lastRow="0" w:firstColumn="1" w:lastColumn="0" w:noHBand="0" w:noVBand="1"/>
      </w:tblPr>
      <w:tblGrid>
        <w:gridCol w:w="4519"/>
        <w:gridCol w:w="4145"/>
        <w:gridCol w:w="70"/>
      </w:tblGrid>
      <w:tr w:rsidR="00D5447B" w:rsidRPr="00D5447B" w:rsidTr="001B239D">
        <w:tc>
          <w:tcPr>
            <w:tcW w:w="4702" w:type="dxa"/>
            <w:hideMark/>
          </w:tcPr>
          <w:p w:rsidR="00D5447B" w:rsidRPr="00D5447B" w:rsidRDefault="00D5447B" w:rsidP="00D5447B">
            <w:pPr>
              <w:spacing w:after="0" w:line="276" w:lineRule="auto"/>
              <w:ind w:right="-11"/>
              <w:jc w:val="center"/>
              <w:rPr>
                <w:rFonts w:ascii="Arial" w:eastAsia="Arial" w:hAnsi="Arial" w:cs="Arial"/>
                <w:b/>
                <w:sz w:val="20"/>
                <w:szCs w:val="20"/>
              </w:rPr>
            </w:pPr>
            <w:r w:rsidRPr="00D5447B">
              <w:rPr>
                <w:rFonts w:ascii="Arial" w:eastAsia="Arial" w:hAnsi="Arial" w:cs="Arial"/>
                <w:b/>
                <w:sz w:val="20"/>
                <w:szCs w:val="20"/>
              </w:rPr>
              <w:t>CONSEJERA PRESIDENTA</w:t>
            </w:r>
          </w:p>
        </w:tc>
        <w:tc>
          <w:tcPr>
            <w:tcW w:w="4477" w:type="dxa"/>
            <w:gridSpan w:val="2"/>
            <w:hideMark/>
          </w:tcPr>
          <w:p w:rsidR="00D5447B" w:rsidRPr="00D5447B" w:rsidRDefault="00D5447B" w:rsidP="00D5447B">
            <w:pPr>
              <w:spacing w:after="0" w:line="276" w:lineRule="auto"/>
              <w:ind w:right="-11"/>
              <w:jc w:val="center"/>
              <w:rPr>
                <w:rFonts w:ascii="Arial" w:eastAsia="Arial" w:hAnsi="Arial" w:cs="Arial"/>
                <w:b/>
                <w:sz w:val="20"/>
                <w:szCs w:val="20"/>
              </w:rPr>
            </w:pPr>
            <w:r w:rsidRPr="00D5447B">
              <w:rPr>
                <w:rFonts w:ascii="Arial" w:eastAsia="Arial" w:hAnsi="Arial" w:cs="Arial"/>
                <w:b/>
                <w:sz w:val="20"/>
                <w:szCs w:val="20"/>
              </w:rPr>
              <w:t>SECRETARIO EJECUTIVO</w:t>
            </w:r>
          </w:p>
        </w:tc>
      </w:tr>
      <w:tr w:rsidR="00D5447B" w:rsidRPr="00D5447B" w:rsidTr="001B239D">
        <w:tc>
          <w:tcPr>
            <w:tcW w:w="4702" w:type="dxa"/>
          </w:tcPr>
          <w:p w:rsidR="00D5447B" w:rsidRPr="00D5447B" w:rsidRDefault="00D5447B" w:rsidP="00D5447B">
            <w:pPr>
              <w:spacing w:after="0" w:line="276" w:lineRule="auto"/>
              <w:ind w:right="-11"/>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tc>
        <w:tc>
          <w:tcPr>
            <w:tcW w:w="4477" w:type="dxa"/>
            <w:gridSpan w:val="2"/>
          </w:tcPr>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tc>
      </w:tr>
      <w:tr w:rsidR="00D5447B" w:rsidRPr="00D5447B" w:rsidTr="001B239D">
        <w:tc>
          <w:tcPr>
            <w:tcW w:w="4702" w:type="dxa"/>
            <w:hideMark/>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_______________________________________</w:t>
            </w:r>
          </w:p>
        </w:tc>
        <w:tc>
          <w:tcPr>
            <w:tcW w:w="4477" w:type="dxa"/>
            <w:gridSpan w:val="2"/>
            <w:hideMark/>
          </w:tcPr>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_____________________________________</w:t>
            </w:r>
          </w:p>
        </w:tc>
      </w:tr>
      <w:tr w:rsidR="00D5447B" w:rsidRPr="00D5447B" w:rsidTr="001B239D">
        <w:tc>
          <w:tcPr>
            <w:tcW w:w="4702" w:type="dxa"/>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MTRA. NIRVANA FABIOLA ROSALES OCHOA</w:t>
            </w:r>
          </w:p>
          <w:p w:rsidR="00D5447B" w:rsidRPr="00D5447B" w:rsidRDefault="00D5447B" w:rsidP="00D5447B">
            <w:pPr>
              <w:spacing w:after="0" w:line="276" w:lineRule="auto"/>
              <w:ind w:right="-11"/>
              <w:jc w:val="center"/>
              <w:rPr>
                <w:rFonts w:ascii="Arial" w:eastAsia="Arial" w:hAnsi="Arial" w:cs="Arial"/>
                <w:sz w:val="4"/>
                <w:szCs w:val="10"/>
              </w:rPr>
            </w:pPr>
          </w:p>
        </w:tc>
        <w:tc>
          <w:tcPr>
            <w:tcW w:w="4477" w:type="dxa"/>
            <w:gridSpan w:val="2"/>
            <w:hideMark/>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LIC. ÓSCAR OMAR ESPINOZA</w:t>
            </w:r>
          </w:p>
        </w:tc>
      </w:tr>
      <w:tr w:rsidR="00D5447B" w:rsidRPr="00D5447B" w:rsidTr="001B239D">
        <w:tc>
          <w:tcPr>
            <w:tcW w:w="9179" w:type="dxa"/>
            <w:gridSpan w:val="3"/>
          </w:tcPr>
          <w:p w:rsidR="00D5447B" w:rsidRPr="00D5447B" w:rsidRDefault="00D5447B" w:rsidP="00D5447B">
            <w:pPr>
              <w:spacing w:after="0" w:line="276" w:lineRule="auto"/>
              <w:ind w:right="-11"/>
              <w:jc w:val="center"/>
              <w:rPr>
                <w:rFonts w:ascii="Arial" w:eastAsia="Arial" w:hAnsi="Arial" w:cs="Arial"/>
                <w:b/>
                <w:sz w:val="6"/>
                <w:szCs w:val="20"/>
              </w:rPr>
            </w:pPr>
          </w:p>
          <w:p w:rsidR="00D5447B" w:rsidRPr="00D5447B" w:rsidRDefault="00D5447B" w:rsidP="00D5447B">
            <w:pPr>
              <w:spacing w:after="0" w:line="276" w:lineRule="auto"/>
              <w:ind w:right="-11"/>
              <w:jc w:val="center"/>
              <w:rPr>
                <w:rFonts w:ascii="Arial" w:eastAsia="Arial" w:hAnsi="Arial" w:cs="Arial"/>
                <w:b/>
                <w:sz w:val="20"/>
                <w:szCs w:val="20"/>
              </w:rPr>
            </w:pPr>
            <w:r w:rsidRPr="00D5447B">
              <w:rPr>
                <w:rFonts w:ascii="Arial" w:eastAsia="Arial" w:hAnsi="Arial" w:cs="Arial"/>
                <w:b/>
                <w:sz w:val="20"/>
                <w:szCs w:val="20"/>
              </w:rPr>
              <w:t>CONSEJERAS Y CONSEJEROS ELECTORALES</w:t>
            </w:r>
          </w:p>
        </w:tc>
      </w:tr>
      <w:tr w:rsidR="00D5447B" w:rsidRPr="00D5447B" w:rsidTr="001B239D">
        <w:tc>
          <w:tcPr>
            <w:tcW w:w="4702" w:type="dxa"/>
          </w:tcPr>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rPr>
                <w:rFonts w:ascii="Arial" w:eastAsia="Arial" w:hAnsi="Arial" w:cs="Arial"/>
                <w:sz w:val="10"/>
                <w:szCs w:val="10"/>
                <w:lang w:val="en-US"/>
              </w:rPr>
            </w:pPr>
          </w:p>
          <w:p w:rsidR="00D5447B" w:rsidRPr="00D5447B" w:rsidRDefault="00D5447B" w:rsidP="00D5447B">
            <w:pPr>
              <w:spacing w:after="0" w:line="276" w:lineRule="auto"/>
              <w:ind w:right="-11"/>
              <w:rPr>
                <w:rFonts w:ascii="Arial" w:eastAsia="Arial" w:hAnsi="Arial" w:cs="Arial"/>
                <w:sz w:val="10"/>
                <w:szCs w:val="10"/>
                <w:lang w:val="en-US"/>
              </w:rPr>
            </w:pPr>
          </w:p>
          <w:p w:rsidR="00D5447B" w:rsidRPr="00D5447B" w:rsidRDefault="00D5447B" w:rsidP="00D5447B">
            <w:pPr>
              <w:spacing w:after="0" w:line="276" w:lineRule="auto"/>
              <w:ind w:right="-11"/>
              <w:rPr>
                <w:rFonts w:ascii="Arial" w:eastAsia="Arial" w:hAnsi="Arial" w:cs="Arial"/>
                <w:sz w:val="10"/>
                <w:szCs w:val="10"/>
                <w:lang w:val="en-US"/>
              </w:rPr>
            </w:pPr>
          </w:p>
          <w:p w:rsidR="00D5447B" w:rsidRPr="00D5447B" w:rsidRDefault="00D5447B" w:rsidP="00D5447B">
            <w:pPr>
              <w:spacing w:after="0" w:line="276" w:lineRule="auto"/>
              <w:ind w:right="-11"/>
              <w:rPr>
                <w:rFonts w:ascii="Arial" w:eastAsia="Arial" w:hAnsi="Arial" w:cs="Arial"/>
                <w:sz w:val="10"/>
                <w:szCs w:val="10"/>
                <w:lang w:val="en-US"/>
              </w:rPr>
            </w:pPr>
          </w:p>
          <w:p w:rsidR="00D5447B" w:rsidRPr="00D5447B" w:rsidRDefault="00D5447B" w:rsidP="00D5447B">
            <w:pPr>
              <w:spacing w:after="0" w:line="276" w:lineRule="auto"/>
              <w:ind w:right="-11"/>
              <w:rPr>
                <w:rFonts w:ascii="Arial" w:eastAsia="Arial" w:hAnsi="Arial" w:cs="Arial"/>
                <w:sz w:val="10"/>
                <w:szCs w:val="1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_____________________________________</w:t>
            </w:r>
          </w:p>
        </w:tc>
        <w:tc>
          <w:tcPr>
            <w:tcW w:w="4477" w:type="dxa"/>
            <w:gridSpan w:val="2"/>
          </w:tcPr>
          <w:p w:rsidR="00D5447B" w:rsidRPr="00D5447B" w:rsidRDefault="00D5447B" w:rsidP="00D5447B">
            <w:pPr>
              <w:spacing w:after="0" w:line="276" w:lineRule="auto"/>
              <w:ind w:right="-11"/>
              <w:jc w:val="center"/>
              <w:rPr>
                <w:rFonts w:ascii="Arial" w:eastAsia="Arial" w:hAnsi="Arial" w:cs="Arial"/>
                <w:sz w:val="10"/>
                <w:szCs w:val="10"/>
                <w:lang w:val="en-US"/>
              </w:rPr>
            </w:pPr>
          </w:p>
          <w:p w:rsidR="00D5447B" w:rsidRPr="00D5447B" w:rsidRDefault="00D5447B" w:rsidP="00D5447B">
            <w:pPr>
              <w:spacing w:after="0" w:line="276" w:lineRule="auto"/>
              <w:ind w:right="-11"/>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p>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___________________________________</w:t>
            </w:r>
          </w:p>
        </w:tc>
      </w:tr>
      <w:tr w:rsidR="00D5447B" w:rsidRPr="00D5447B" w:rsidTr="001B239D">
        <w:tc>
          <w:tcPr>
            <w:tcW w:w="4702" w:type="dxa"/>
            <w:hideMark/>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 xml:space="preserve">MTRA. NOEMÍ SOFÍA HERRERA NÚÑEZ </w:t>
            </w:r>
          </w:p>
        </w:tc>
        <w:tc>
          <w:tcPr>
            <w:tcW w:w="4477" w:type="dxa"/>
            <w:gridSpan w:val="2"/>
            <w:hideMark/>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LICDA. AYIZDE ANGUIANO POLANCO</w:t>
            </w:r>
          </w:p>
        </w:tc>
      </w:tr>
      <w:tr w:rsidR="00D5447B" w:rsidRPr="00D5447B" w:rsidTr="001B239D">
        <w:tc>
          <w:tcPr>
            <w:tcW w:w="4702" w:type="dxa"/>
          </w:tcPr>
          <w:p w:rsidR="00D5447B" w:rsidRPr="00D5447B" w:rsidRDefault="00D5447B" w:rsidP="00D5447B">
            <w:pPr>
              <w:spacing w:after="0" w:line="276" w:lineRule="auto"/>
              <w:rPr>
                <w:rFonts w:ascii="Arial" w:eastAsia="Arial" w:hAnsi="Arial" w:cs="Arial"/>
                <w:sz w:val="20"/>
                <w:szCs w:val="20"/>
                <w:lang w:val="en-US"/>
              </w:rPr>
            </w:pPr>
          </w:p>
          <w:p w:rsidR="00D5447B" w:rsidRPr="00D5447B" w:rsidRDefault="00D5447B" w:rsidP="00D5447B">
            <w:pPr>
              <w:spacing w:after="0" w:line="276" w:lineRule="auto"/>
              <w:rPr>
                <w:rFonts w:ascii="Arial" w:eastAsia="Arial" w:hAnsi="Arial" w:cs="Arial"/>
                <w:sz w:val="20"/>
                <w:szCs w:val="20"/>
                <w:lang w:val="en-US"/>
              </w:rPr>
            </w:pPr>
          </w:p>
          <w:p w:rsidR="00D5447B" w:rsidRPr="00D5447B" w:rsidRDefault="00D5447B" w:rsidP="00D5447B">
            <w:pPr>
              <w:spacing w:after="0" w:line="276" w:lineRule="auto"/>
              <w:rPr>
                <w:rFonts w:ascii="Arial" w:eastAsia="Arial" w:hAnsi="Arial" w:cs="Arial"/>
                <w:sz w:val="20"/>
                <w:szCs w:val="20"/>
                <w:lang w:val="en-US"/>
              </w:rPr>
            </w:pPr>
          </w:p>
          <w:p w:rsidR="00D5447B" w:rsidRPr="00D5447B" w:rsidRDefault="00D5447B" w:rsidP="00D5447B">
            <w:pPr>
              <w:spacing w:after="0" w:line="276" w:lineRule="auto"/>
              <w:rPr>
                <w:rFonts w:ascii="Arial" w:eastAsia="Arial" w:hAnsi="Arial" w:cs="Arial"/>
                <w:sz w:val="20"/>
                <w:szCs w:val="20"/>
                <w:lang w:val="en-US"/>
              </w:rPr>
            </w:pPr>
          </w:p>
          <w:p w:rsidR="00D5447B" w:rsidRPr="00D5447B" w:rsidRDefault="00D5447B" w:rsidP="00D5447B">
            <w:pPr>
              <w:spacing w:after="0" w:line="276" w:lineRule="auto"/>
              <w:rPr>
                <w:rFonts w:ascii="Arial" w:eastAsia="Arial" w:hAnsi="Arial" w:cs="Arial"/>
                <w:sz w:val="20"/>
                <w:szCs w:val="20"/>
                <w:lang w:val="en-US"/>
              </w:rPr>
            </w:pPr>
          </w:p>
          <w:p w:rsidR="00D5447B" w:rsidRPr="00D5447B" w:rsidRDefault="00D5447B" w:rsidP="00D5447B">
            <w:pPr>
              <w:spacing w:after="0" w:line="276" w:lineRule="auto"/>
              <w:rPr>
                <w:rFonts w:ascii="Arial" w:eastAsia="Arial" w:hAnsi="Arial" w:cs="Arial"/>
                <w:sz w:val="20"/>
                <w:szCs w:val="20"/>
                <w:lang w:val="en-US"/>
              </w:rPr>
            </w:pPr>
          </w:p>
        </w:tc>
        <w:tc>
          <w:tcPr>
            <w:tcW w:w="4477" w:type="dxa"/>
            <w:gridSpan w:val="2"/>
          </w:tcPr>
          <w:p w:rsidR="00D5447B" w:rsidRPr="00D5447B" w:rsidRDefault="00D5447B" w:rsidP="00D5447B">
            <w:pPr>
              <w:spacing w:after="0" w:line="276" w:lineRule="auto"/>
              <w:ind w:right="-11"/>
              <w:jc w:val="center"/>
              <w:rPr>
                <w:rFonts w:ascii="Arial" w:eastAsia="Arial" w:hAnsi="Arial" w:cs="Arial"/>
                <w:sz w:val="20"/>
                <w:szCs w:val="20"/>
              </w:rPr>
            </w:pPr>
          </w:p>
          <w:p w:rsidR="00D5447B" w:rsidRPr="00D5447B" w:rsidRDefault="00D5447B" w:rsidP="00D5447B">
            <w:pPr>
              <w:spacing w:after="0" w:line="276" w:lineRule="auto"/>
              <w:ind w:right="-11"/>
              <w:jc w:val="center"/>
              <w:rPr>
                <w:rFonts w:ascii="Arial" w:eastAsia="Arial" w:hAnsi="Arial" w:cs="Arial"/>
                <w:sz w:val="20"/>
                <w:szCs w:val="20"/>
              </w:rPr>
            </w:pPr>
          </w:p>
          <w:p w:rsidR="00D5447B" w:rsidRPr="00D5447B" w:rsidRDefault="00D5447B" w:rsidP="00D5447B">
            <w:pPr>
              <w:spacing w:after="0" w:line="276" w:lineRule="auto"/>
              <w:ind w:right="-11"/>
              <w:jc w:val="center"/>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p w:rsidR="00D5447B" w:rsidRPr="00D5447B" w:rsidRDefault="00D5447B" w:rsidP="00D5447B">
            <w:pPr>
              <w:spacing w:after="0" w:line="276" w:lineRule="auto"/>
              <w:ind w:right="-11"/>
              <w:rPr>
                <w:rFonts w:ascii="Arial" w:eastAsia="Arial" w:hAnsi="Arial" w:cs="Arial"/>
                <w:sz w:val="20"/>
                <w:szCs w:val="20"/>
              </w:rPr>
            </w:pPr>
          </w:p>
        </w:tc>
      </w:tr>
      <w:tr w:rsidR="00D5447B" w:rsidRPr="00D5447B" w:rsidTr="001B239D">
        <w:tc>
          <w:tcPr>
            <w:tcW w:w="4702" w:type="dxa"/>
            <w:hideMark/>
          </w:tcPr>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____________________________________</w:t>
            </w:r>
          </w:p>
        </w:tc>
        <w:tc>
          <w:tcPr>
            <w:tcW w:w="4477" w:type="dxa"/>
            <w:gridSpan w:val="2"/>
            <w:hideMark/>
          </w:tcPr>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____________________________________</w:t>
            </w:r>
          </w:p>
        </w:tc>
      </w:tr>
      <w:tr w:rsidR="00D5447B" w:rsidRPr="00D5447B" w:rsidTr="001B239D">
        <w:trPr>
          <w:trHeight w:val="435"/>
        </w:trPr>
        <w:tc>
          <w:tcPr>
            <w:tcW w:w="4702" w:type="dxa"/>
            <w:hideMark/>
          </w:tcPr>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lastRenderedPageBreak/>
              <w:t>LIC. RAÚL MALDONADO RAMÍREZ</w:t>
            </w:r>
          </w:p>
        </w:tc>
        <w:tc>
          <w:tcPr>
            <w:tcW w:w="4477" w:type="dxa"/>
            <w:gridSpan w:val="2"/>
            <w:hideMark/>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 xml:space="preserve">MTRA. </w:t>
            </w:r>
            <w:r w:rsidRPr="00D5447B">
              <w:rPr>
                <w:rFonts w:ascii="Arial" w:eastAsia="Calibri" w:hAnsi="Arial" w:cs="Arial"/>
              </w:rPr>
              <w:t>MARTHA ELBA IZA HUERTA</w:t>
            </w:r>
            <w:r w:rsidRPr="00D5447B">
              <w:rPr>
                <w:rFonts w:ascii="Arial" w:eastAsia="Arial" w:hAnsi="Arial" w:cs="Arial"/>
                <w:sz w:val="20"/>
                <w:szCs w:val="20"/>
              </w:rPr>
              <w:t xml:space="preserve"> </w:t>
            </w:r>
          </w:p>
        </w:tc>
      </w:tr>
      <w:tr w:rsidR="00D5447B" w:rsidRPr="00D5447B" w:rsidTr="001B239D">
        <w:trPr>
          <w:gridAfter w:val="1"/>
          <w:wAfter w:w="141" w:type="dxa"/>
          <w:trHeight w:val="80"/>
        </w:trPr>
        <w:tc>
          <w:tcPr>
            <w:tcW w:w="9038" w:type="dxa"/>
            <w:gridSpan w:val="2"/>
          </w:tcPr>
          <w:p w:rsidR="00D5447B" w:rsidRPr="00D5447B" w:rsidRDefault="00D5447B" w:rsidP="00D5447B">
            <w:pPr>
              <w:spacing w:after="0" w:line="276" w:lineRule="auto"/>
              <w:rPr>
                <w:rFonts w:ascii="Times New Roman" w:eastAsia="Times New Roman" w:hAnsi="Times New Roman" w:cs="Times New Roman"/>
                <w:sz w:val="14"/>
                <w:szCs w:val="24"/>
                <w:lang w:val="es-ES" w:eastAsia="es-ES"/>
              </w:rPr>
            </w:pPr>
          </w:p>
          <w:p w:rsidR="00D5447B" w:rsidRPr="00D5447B" w:rsidRDefault="00D5447B" w:rsidP="00D5447B">
            <w:pPr>
              <w:spacing w:after="0" w:line="276" w:lineRule="auto"/>
              <w:rPr>
                <w:rFonts w:ascii="Times New Roman" w:eastAsia="Times New Roman" w:hAnsi="Times New Roman" w:cs="Times New Roman"/>
                <w:sz w:val="14"/>
                <w:szCs w:val="24"/>
                <w:lang w:val="es-ES" w:eastAsia="es-ES"/>
              </w:rPr>
            </w:pPr>
          </w:p>
          <w:tbl>
            <w:tblPr>
              <w:tblW w:w="8718" w:type="dxa"/>
              <w:tblInd w:w="104" w:type="dxa"/>
              <w:tblLook w:val="04A0" w:firstRow="1" w:lastRow="0" w:firstColumn="1" w:lastColumn="0" w:noHBand="0" w:noVBand="1"/>
            </w:tblPr>
            <w:tblGrid>
              <w:gridCol w:w="4395"/>
              <w:gridCol w:w="4323"/>
            </w:tblGrid>
            <w:tr w:rsidR="00D5447B" w:rsidRPr="00D5447B" w:rsidTr="001B239D">
              <w:tc>
                <w:tcPr>
                  <w:tcW w:w="4395" w:type="dxa"/>
                </w:tcPr>
                <w:p w:rsidR="00D5447B" w:rsidRPr="00D5447B" w:rsidRDefault="00D5447B" w:rsidP="00D5447B">
                  <w:pPr>
                    <w:spacing w:after="0" w:line="276" w:lineRule="auto"/>
                    <w:jc w:val="center"/>
                    <w:rPr>
                      <w:rFonts w:ascii="Arial" w:eastAsia="Arial" w:hAnsi="Arial" w:cs="Arial"/>
                      <w:sz w:val="20"/>
                      <w:szCs w:val="20"/>
                      <w:lang w:val="en-US"/>
                    </w:rPr>
                  </w:pPr>
                </w:p>
                <w:p w:rsidR="00D5447B" w:rsidRPr="00D5447B" w:rsidRDefault="00D5447B" w:rsidP="00D5447B">
                  <w:pPr>
                    <w:spacing w:after="0" w:line="276" w:lineRule="auto"/>
                    <w:jc w:val="center"/>
                    <w:rPr>
                      <w:rFonts w:ascii="Arial" w:eastAsia="Arial" w:hAnsi="Arial" w:cs="Arial"/>
                      <w:sz w:val="20"/>
                      <w:szCs w:val="20"/>
                      <w:lang w:val="en-US"/>
                    </w:rPr>
                  </w:pPr>
                </w:p>
                <w:p w:rsidR="00D5447B" w:rsidRPr="00D5447B" w:rsidRDefault="00D5447B" w:rsidP="00D5447B">
                  <w:pPr>
                    <w:spacing w:after="0" w:line="276" w:lineRule="auto"/>
                    <w:jc w:val="center"/>
                    <w:rPr>
                      <w:rFonts w:ascii="Arial" w:eastAsia="Arial" w:hAnsi="Arial" w:cs="Arial"/>
                      <w:sz w:val="20"/>
                      <w:szCs w:val="20"/>
                      <w:lang w:val="en-US"/>
                    </w:rPr>
                  </w:pPr>
                </w:p>
                <w:p w:rsidR="00D5447B" w:rsidRPr="00D5447B" w:rsidRDefault="00D5447B" w:rsidP="00D5447B">
                  <w:pPr>
                    <w:spacing w:after="0" w:line="276" w:lineRule="auto"/>
                    <w:jc w:val="center"/>
                    <w:rPr>
                      <w:rFonts w:ascii="Arial" w:eastAsia="Arial" w:hAnsi="Arial" w:cs="Arial"/>
                      <w:sz w:val="20"/>
                      <w:szCs w:val="20"/>
                      <w:lang w:val="en-US"/>
                    </w:rPr>
                  </w:pPr>
                </w:p>
                <w:p w:rsidR="00D5447B" w:rsidRPr="00D5447B" w:rsidRDefault="00D5447B" w:rsidP="00D5447B">
                  <w:pPr>
                    <w:spacing w:after="0" w:line="276" w:lineRule="auto"/>
                    <w:jc w:val="center"/>
                    <w:rPr>
                      <w:rFonts w:ascii="Arial" w:eastAsia="Arial" w:hAnsi="Arial" w:cs="Arial"/>
                      <w:sz w:val="20"/>
                      <w:szCs w:val="20"/>
                      <w:lang w:val="en-US"/>
                    </w:rPr>
                  </w:pPr>
                </w:p>
                <w:p w:rsidR="00D5447B" w:rsidRPr="00D5447B" w:rsidRDefault="00D5447B" w:rsidP="00D5447B">
                  <w:pPr>
                    <w:spacing w:after="0" w:line="276" w:lineRule="auto"/>
                    <w:jc w:val="center"/>
                    <w:rPr>
                      <w:rFonts w:ascii="Arial" w:eastAsia="Arial" w:hAnsi="Arial" w:cs="Arial"/>
                      <w:sz w:val="20"/>
                      <w:szCs w:val="20"/>
                      <w:lang w:val="en-US"/>
                    </w:rPr>
                  </w:pPr>
                </w:p>
              </w:tc>
              <w:tc>
                <w:tcPr>
                  <w:tcW w:w="4323" w:type="dxa"/>
                </w:tcPr>
                <w:p w:rsidR="00D5447B" w:rsidRPr="00D5447B" w:rsidRDefault="00D5447B" w:rsidP="00D5447B">
                  <w:pPr>
                    <w:spacing w:after="0" w:line="276" w:lineRule="auto"/>
                    <w:ind w:right="-11"/>
                    <w:jc w:val="center"/>
                    <w:rPr>
                      <w:rFonts w:ascii="Arial" w:eastAsia="Arial" w:hAnsi="Arial" w:cs="Arial"/>
                      <w:sz w:val="20"/>
                      <w:szCs w:val="20"/>
                    </w:rPr>
                  </w:pPr>
                </w:p>
                <w:p w:rsidR="00D5447B" w:rsidRPr="00D5447B" w:rsidRDefault="00D5447B" w:rsidP="00D5447B">
                  <w:pPr>
                    <w:spacing w:after="0" w:line="276" w:lineRule="auto"/>
                    <w:ind w:right="-11"/>
                    <w:jc w:val="center"/>
                    <w:rPr>
                      <w:rFonts w:ascii="Arial" w:eastAsia="Arial" w:hAnsi="Arial" w:cs="Arial"/>
                      <w:sz w:val="20"/>
                      <w:szCs w:val="20"/>
                    </w:rPr>
                  </w:pPr>
                </w:p>
              </w:tc>
            </w:tr>
            <w:tr w:rsidR="00D5447B" w:rsidRPr="00D5447B" w:rsidTr="001B239D">
              <w:tc>
                <w:tcPr>
                  <w:tcW w:w="4395" w:type="dxa"/>
                  <w:hideMark/>
                </w:tcPr>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____________________________________</w:t>
                  </w:r>
                </w:p>
              </w:tc>
              <w:tc>
                <w:tcPr>
                  <w:tcW w:w="4323" w:type="dxa"/>
                  <w:hideMark/>
                </w:tcPr>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Arial" w:hAnsi="Arial" w:cs="Arial"/>
                      <w:sz w:val="20"/>
                      <w:szCs w:val="20"/>
                      <w:lang w:val="en-US"/>
                    </w:rPr>
                    <w:t xml:space="preserve">  ____________________________________</w:t>
                  </w:r>
                </w:p>
              </w:tc>
            </w:tr>
            <w:tr w:rsidR="00D5447B" w:rsidRPr="00D5447B" w:rsidTr="001B239D">
              <w:trPr>
                <w:trHeight w:val="435"/>
              </w:trPr>
              <w:tc>
                <w:tcPr>
                  <w:tcW w:w="4395" w:type="dxa"/>
                  <w:hideMark/>
                </w:tcPr>
                <w:p w:rsidR="00D5447B" w:rsidRPr="00D5447B" w:rsidRDefault="00D5447B" w:rsidP="00D5447B">
                  <w:pPr>
                    <w:spacing w:after="0" w:line="276" w:lineRule="auto"/>
                    <w:ind w:right="-11"/>
                    <w:jc w:val="center"/>
                    <w:rPr>
                      <w:rFonts w:ascii="Arial" w:eastAsia="Calibri" w:hAnsi="Arial" w:cs="Arial"/>
                    </w:rPr>
                  </w:pPr>
                  <w:r w:rsidRPr="00D5447B">
                    <w:rPr>
                      <w:rFonts w:ascii="Arial" w:eastAsia="Arial" w:hAnsi="Arial" w:cs="Arial"/>
                      <w:sz w:val="20"/>
                      <w:szCs w:val="20"/>
                      <w:lang w:val="en-US"/>
                    </w:rPr>
                    <w:t xml:space="preserve">MTRA. </w:t>
                  </w:r>
                  <w:r w:rsidRPr="00D5447B">
                    <w:rPr>
                      <w:rFonts w:ascii="Arial" w:eastAsia="Calibri" w:hAnsi="Arial" w:cs="Arial"/>
                    </w:rPr>
                    <w:t xml:space="preserve">ARLEN ALEJANDRA </w:t>
                  </w:r>
                </w:p>
                <w:p w:rsidR="00D5447B" w:rsidRPr="00D5447B" w:rsidRDefault="00D5447B" w:rsidP="00D5447B">
                  <w:pPr>
                    <w:spacing w:after="0" w:line="276" w:lineRule="auto"/>
                    <w:ind w:right="-11"/>
                    <w:jc w:val="center"/>
                    <w:rPr>
                      <w:rFonts w:ascii="Arial" w:eastAsia="Arial" w:hAnsi="Arial" w:cs="Arial"/>
                      <w:sz w:val="20"/>
                      <w:szCs w:val="20"/>
                      <w:lang w:val="en-US"/>
                    </w:rPr>
                  </w:pPr>
                  <w:r w:rsidRPr="00D5447B">
                    <w:rPr>
                      <w:rFonts w:ascii="Arial" w:eastAsia="Calibri" w:hAnsi="Arial" w:cs="Arial"/>
                    </w:rPr>
                    <w:t>MARTÍNEZ FUENTES</w:t>
                  </w:r>
                </w:p>
              </w:tc>
              <w:tc>
                <w:tcPr>
                  <w:tcW w:w="4323" w:type="dxa"/>
                  <w:hideMark/>
                </w:tcPr>
                <w:p w:rsidR="00D5447B" w:rsidRPr="00D5447B" w:rsidRDefault="00D5447B" w:rsidP="00D5447B">
                  <w:pPr>
                    <w:spacing w:after="0" w:line="276" w:lineRule="auto"/>
                    <w:ind w:right="-11"/>
                    <w:jc w:val="center"/>
                    <w:rPr>
                      <w:rFonts w:ascii="Arial" w:eastAsia="Arial" w:hAnsi="Arial" w:cs="Arial"/>
                      <w:sz w:val="20"/>
                      <w:szCs w:val="20"/>
                    </w:rPr>
                  </w:pPr>
                  <w:r w:rsidRPr="00D5447B">
                    <w:rPr>
                      <w:rFonts w:ascii="Arial" w:eastAsia="Arial" w:hAnsi="Arial" w:cs="Arial"/>
                      <w:sz w:val="20"/>
                      <w:szCs w:val="20"/>
                    </w:rPr>
                    <w:t xml:space="preserve">LIC. </w:t>
                  </w:r>
                  <w:r w:rsidRPr="00D5447B">
                    <w:rPr>
                      <w:rFonts w:ascii="Arial" w:eastAsia="Calibri" w:hAnsi="Arial" w:cs="Arial"/>
                    </w:rPr>
                    <w:t>JAVIER ÁVILA CARRILLO</w:t>
                  </w:r>
                </w:p>
              </w:tc>
            </w:tr>
          </w:tbl>
          <w:p w:rsidR="00D5447B" w:rsidRPr="00D5447B" w:rsidRDefault="00D5447B" w:rsidP="00D5447B">
            <w:pPr>
              <w:spacing w:after="0" w:line="276" w:lineRule="auto"/>
              <w:rPr>
                <w:rFonts w:ascii="Calibri" w:eastAsia="Calibri" w:hAnsi="Calibri" w:cs="Times New Roman"/>
                <w:sz w:val="20"/>
                <w:szCs w:val="20"/>
                <w:lang w:eastAsia="es-MX"/>
              </w:rPr>
            </w:pPr>
          </w:p>
        </w:tc>
      </w:tr>
    </w:tbl>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Default="00D5447B" w:rsidP="00D5447B">
      <w:pPr>
        <w:spacing w:line="240" w:lineRule="auto"/>
        <w:contextualSpacing/>
        <w:jc w:val="both"/>
        <w:rPr>
          <w:rFonts w:ascii="Arial" w:eastAsia="Arial" w:hAnsi="Arial" w:cs="Arial"/>
          <w:sz w:val="16"/>
          <w:szCs w:val="16"/>
        </w:rPr>
      </w:pPr>
    </w:p>
    <w:p w:rsidR="00D5447B" w:rsidRDefault="00D5447B" w:rsidP="00D5447B">
      <w:pPr>
        <w:spacing w:line="240" w:lineRule="auto"/>
        <w:contextualSpacing/>
        <w:jc w:val="both"/>
        <w:rPr>
          <w:rFonts w:ascii="Arial" w:eastAsia="Arial" w:hAnsi="Arial" w:cs="Arial"/>
          <w:sz w:val="16"/>
          <w:szCs w:val="16"/>
        </w:rPr>
      </w:pPr>
    </w:p>
    <w:p w:rsid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p>
    <w:p w:rsidR="00D5447B" w:rsidRPr="00D5447B" w:rsidRDefault="00D5447B" w:rsidP="00D5447B">
      <w:pPr>
        <w:spacing w:line="240" w:lineRule="auto"/>
        <w:contextualSpacing/>
        <w:jc w:val="both"/>
        <w:rPr>
          <w:rFonts w:ascii="Arial" w:eastAsia="Arial" w:hAnsi="Arial" w:cs="Arial"/>
          <w:sz w:val="16"/>
          <w:szCs w:val="16"/>
        </w:rPr>
      </w:pPr>
      <w:r w:rsidRPr="00D5447B">
        <w:rPr>
          <w:rFonts w:ascii="Arial" w:eastAsia="Arial" w:hAnsi="Arial" w:cs="Arial"/>
          <w:sz w:val="16"/>
          <w:szCs w:val="16"/>
        </w:rPr>
        <w:lastRenderedPageBreak/>
        <w:t xml:space="preserve">La presente foja forma parte del Acuerdo número </w:t>
      </w:r>
      <w:r w:rsidRPr="00D5447B">
        <w:rPr>
          <w:rFonts w:ascii="Arial" w:eastAsia="Arial" w:hAnsi="Arial" w:cs="Arial"/>
          <w:b/>
          <w:sz w:val="16"/>
          <w:szCs w:val="16"/>
        </w:rPr>
        <w:t>IEE/CG/A02</w:t>
      </w:r>
      <w:r>
        <w:rPr>
          <w:rFonts w:ascii="Arial" w:eastAsia="Arial" w:hAnsi="Arial" w:cs="Arial"/>
          <w:b/>
          <w:sz w:val="16"/>
          <w:szCs w:val="16"/>
        </w:rPr>
        <w:t>9</w:t>
      </w:r>
      <w:r w:rsidRPr="00D5447B">
        <w:rPr>
          <w:rFonts w:ascii="Arial" w:eastAsia="Arial" w:hAnsi="Arial" w:cs="Arial"/>
          <w:b/>
          <w:sz w:val="16"/>
          <w:szCs w:val="16"/>
        </w:rPr>
        <w:t>/2019</w:t>
      </w:r>
      <w:r w:rsidRPr="00D5447B">
        <w:rPr>
          <w:rFonts w:ascii="Arial" w:eastAsia="Arial" w:hAnsi="Arial" w:cs="Arial"/>
          <w:sz w:val="16"/>
          <w:szCs w:val="16"/>
        </w:rPr>
        <w:t xml:space="preserve"> del Periodo Interproceso 2018-2020, aprobado en la Décima </w:t>
      </w:r>
      <w:r>
        <w:rPr>
          <w:rFonts w:ascii="Arial" w:eastAsia="Arial" w:hAnsi="Arial" w:cs="Arial"/>
          <w:sz w:val="16"/>
          <w:szCs w:val="16"/>
        </w:rPr>
        <w:t>Tercer</w:t>
      </w:r>
      <w:r w:rsidRPr="00D5447B">
        <w:rPr>
          <w:rFonts w:ascii="Arial" w:eastAsia="Arial" w:hAnsi="Arial" w:cs="Arial"/>
          <w:sz w:val="16"/>
          <w:szCs w:val="16"/>
        </w:rPr>
        <w:t xml:space="preserve">a Sesión Extraordinaria del Consejo General del Instituto Electoral del Estado de Colima, celebrada el día </w:t>
      </w:r>
      <w:r>
        <w:rPr>
          <w:rFonts w:ascii="Arial" w:eastAsia="Arial" w:hAnsi="Arial" w:cs="Arial"/>
          <w:sz w:val="16"/>
          <w:szCs w:val="16"/>
        </w:rPr>
        <w:t>06</w:t>
      </w:r>
      <w:r w:rsidRPr="00D5447B">
        <w:rPr>
          <w:rFonts w:ascii="Arial" w:eastAsia="Arial" w:hAnsi="Arial" w:cs="Arial"/>
          <w:sz w:val="16"/>
          <w:szCs w:val="16"/>
        </w:rPr>
        <w:t xml:space="preserve"> (</w:t>
      </w:r>
      <w:r>
        <w:rPr>
          <w:rFonts w:ascii="Arial" w:eastAsia="Arial" w:hAnsi="Arial" w:cs="Arial"/>
          <w:sz w:val="16"/>
          <w:szCs w:val="16"/>
        </w:rPr>
        <w:t>seis</w:t>
      </w:r>
      <w:r w:rsidRPr="00D5447B">
        <w:rPr>
          <w:rFonts w:ascii="Arial" w:eastAsia="Arial" w:hAnsi="Arial" w:cs="Arial"/>
          <w:sz w:val="16"/>
          <w:szCs w:val="16"/>
        </w:rPr>
        <w:t xml:space="preserve">) de </w:t>
      </w:r>
      <w:r>
        <w:rPr>
          <w:rFonts w:ascii="Arial" w:eastAsia="Arial" w:hAnsi="Arial" w:cs="Arial"/>
          <w:sz w:val="16"/>
          <w:szCs w:val="16"/>
        </w:rPr>
        <w:t>junio</w:t>
      </w:r>
      <w:r w:rsidRPr="00D5447B">
        <w:rPr>
          <w:rFonts w:ascii="Arial" w:eastAsia="Arial" w:hAnsi="Arial" w:cs="Arial"/>
          <w:sz w:val="16"/>
          <w:szCs w:val="16"/>
        </w:rPr>
        <w:t xml:space="preserve"> del año 2019 (dos mil diecinueve). ---------</w:t>
      </w:r>
      <w:r>
        <w:rPr>
          <w:rFonts w:ascii="Arial" w:eastAsia="Arial" w:hAnsi="Arial" w:cs="Arial"/>
          <w:sz w:val="16"/>
          <w:szCs w:val="16"/>
        </w:rPr>
        <w:t>-------------</w:t>
      </w:r>
      <w:r w:rsidRPr="00D5447B">
        <w:rPr>
          <w:rFonts w:ascii="Arial" w:eastAsia="Arial" w:hAnsi="Arial" w:cs="Arial"/>
          <w:sz w:val="16"/>
          <w:szCs w:val="16"/>
        </w:rPr>
        <w:t>-----------------------------------------------------------------------------</w:t>
      </w:r>
    </w:p>
    <w:p w:rsidR="00D5447B" w:rsidRPr="00D5447B" w:rsidRDefault="00D5447B" w:rsidP="00D5447B">
      <w:pPr>
        <w:spacing w:line="240" w:lineRule="auto"/>
        <w:contextualSpacing/>
        <w:jc w:val="both"/>
        <w:rPr>
          <w:rFonts w:ascii="Arial" w:eastAsia="Times New Roman" w:hAnsi="Arial" w:cs="Arial"/>
          <w:sz w:val="2"/>
          <w:lang w:val="es-ES" w:eastAsia="es-ES"/>
        </w:rPr>
      </w:pPr>
    </w:p>
    <w:p w:rsidR="00D5447B" w:rsidRPr="00D5447B" w:rsidRDefault="00D5447B" w:rsidP="00D5447B">
      <w:pPr>
        <w:spacing w:after="0" w:line="240" w:lineRule="auto"/>
        <w:jc w:val="both"/>
        <w:rPr>
          <w:rFonts w:ascii="Arial" w:eastAsia="Calibri" w:hAnsi="Arial" w:cs="Arial"/>
          <w:sz w:val="4"/>
        </w:rPr>
      </w:pPr>
    </w:p>
    <w:p w:rsidR="00D5447B" w:rsidRPr="00F61D6C" w:rsidRDefault="00D5447B" w:rsidP="00F61D6C">
      <w:pPr>
        <w:spacing w:line="360" w:lineRule="auto"/>
        <w:jc w:val="both"/>
        <w:rPr>
          <w:rFonts w:ascii="Arial" w:eastAsia="Calibri" w:hAnsi="Arial" w:cs="Arial"/>
        </w:rPr>
      </w:pPr>
    </w:p>
    <w:sectPr w:rsidR="00D5447B" w:rsidRPr="00F61D6C" w:rsidSect="00CC5AF1">
      <w:headerReference w:type="default" r:id="rId8"/>
      <w:footerReference w:type="default" r:id="rId9"/>
      <w:pgSz w:w="12240" w:h="15840"/>
      <w:pgMar w:top="1843" w:right="1701" w:bottom="1417" w:left="1701" w:header="708"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BC" w:rsidRDefault="00FB46BC" w:rsidP="00AA16AC">
      <w:pPr>
        <w:spacing w:after="0" w:line="240" w:lineRule="auto"/>
      </w:pPr>
      <w:r>
        <w:separator/>
      </w:r>
    </w:p>
  </w:endnote>
  <w:endnote w:type="continuationSeparator" w:id="0">
    <w:p w:rsidR="00FB46BC" w:rsidRDefault="00FB46BC" w:rsidP="00AA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58" w:rsidRDefault="00D94158" w:rsidP="00CC5AF1">
    <w:pPr>
      <w:spacing w:after="0" w:line="240" w:lineRule="auto"/>
      <w:jc w:val="center"/>
      <w:rPr>
        <w:rFonts w:ascii="Calibri" w:hAnsi="Calibri" w:cs="Arial"/>
        <w:b/>
        <w:sz w:val="20"/>
        <w:szCs w:val="20"/>
      </w:rPr>
    </w:pPr>
    <w:r>
      <w:rPr>
        <w:noProof/>
        <w:lang w:eastAsia="es-MX"/>
      </w:rPr>
      <mc:AlternateContent>
        <mc:Choice Requires="wps">
          <w:drawing>
            <wp:anchor distT="4294967295" distB="4294967295" distL="114300" distR="114300" simplePos="0" relativeHeight="251662336" behindDoc="0" locked="0" layoutInCell="1" allowOverlap="1" wp14:anchorId="55975B4E" wp14:editId="2A969FC5">
              <wp:simplePos x="0" y="0"/>
              <wp:positionH relativeFrom="column">
                <wp:posOffset>1624965</wp:posOffset>
              </wp:positionH>
              <wp:positionV relativeFrom="paragraph">
                <wp:posOffset>-71755</wp:posOffset>
              </wp:positionV>
              <wp:extent cx="2621915" cy="0"/>
              <wp:effectExtent l="0" t="0" r="698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E40640" id="_x0000_t32" coordsize="21600,21600" o:spt="32" o:oned="t" path="m,l21600,21600e" filled="f">
              <v:path arrowok="t" fillok="f" o:connecttype="none"/>
              <o:lock v:ext="edit" shapetype="t"/>
            </v:shapetype>
            <v:shape id="Conector recto de flecha 1"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">
              <v:stroke dashstyle="1 1" endcap="round"/>
              <v:shadow color="#868686"/>
            </v:shape>
          </w:pict>
        </mc:Fallback>
      </mc:AlternateContent>
    </w:r>
    <w:r>
      <w:rPr>
        <w:rFonts w:ascii="Calibri" w:hAnsi="Calibri"/>
        <w:b/>
        <w:sz w:val="20"/>
        <w:szCs w:val="20"/>
      </w:rPr>
      <w:t xml:space="preserve"> ACUERDO NO. </w:t>
    </w:r>
    <w:r>
      <w:rPr>
        <w:rFonts w:ascii="Calibri" w:hAnsi="Calibri" w:cs="Arial"/>
        <w:b/>
        <w:sz w:val="20"/>
        <w:szCs w:val="20"/>
      </w:rPr>
      <w:t>IEE/CG/A0</w:t>
    </w:r>
    <w:r w:rsidR="00D5447B">
      <w:rPr>
        <w:rFonts w:ascii="Calibri" w:hAnsi="Calibri" w:cs="Arial"/>
        <w:b/>
        <w:sz w:val="20"/>
        <w:szCs w:val="20"/>
      </w:rPr>
      <w:t>29</w:t>
    </w:r>
    <w:r>
      <w:rPr>
        <w:rFonts w:ascii="Calibri" w:hAnsi="Calibri" w:cs="Arial"/>
        <w:b/>
        <w:sz w:val="20"/>
        <w:szCs w:val="20"/>
      </w:rPr>
      <w:t>/2019</w:t>
    </w:r>
  </w:p>
  <w:p w:rsidR="00D94158" w:rsidRDefault="00D94158" w:rsidP="00CC5AF1">
    <w:pPr>
      <w:pStyle w:val="Piedepgina"/>
      <w:jc w:val="center"/>
      <w:rPr>
        <w:rFonts w:ascii="Calibri" w:hAnsi="Calibri" w:cs="Times New Roman"/>
        <w:sz w:val="18"/>
        <w:szCs w:val="20"/>
      </w:rPr>
    </w:pPr>
    <w:r>
      <w:rPr>
        <w:rFonts w:ascii="Calibri" w:hAnsi="Calibri"/>
        <w:sz w:val="18"/>
        <w:szCs w:val="20"/>
      </w:rPr>
      <w:t>Renovación de Presidencia de la</w:t>
    </w:r>
    <w:r w:rsidR="00C91BDE">
      <w:rPr>
        <w:rFonts w:ascii="Calibri" w:hAnsi="Calibri"/>
        <w:sz w:val="18"/>
        <w:szCs w:val="20"/>
      </w:rPr>
      <w:t xml:space="preserve"> Comisión de Denuncias y Quejas</w:t>
    </w:r>
  </w:p>
  <w:p w:rsidR="00D94158" w:rsidRPr="00D94158" w:rsidRDefault="00D94158" w:rsidP="00CC5AF1">
    <w:pPr>
      <w:pStyle w:val="Piedepgina"/>
      <w:jc w:val="center"/>
      <w:rPr>
        <w:rFonts w:ascii="Calibri" w:hAnsi="Calibri"/>
        <w:sz w:val="18"/>
        <w:szCs w:val="20"/>
      </w:rPr>
    </w:pPr>
    <w:r>
      <w:rPr>
        <w:rFonts w:ascii="Calibri" w:hAnsi="Calibri"/>
        <w:sz w:val="18"/>
        <w:szCs w:val="20"/>
      </w:rPr>
      <w:t xml:space="preserve">Página </w:t>
    </w:r>
    <w:r>
      <w:rPr>
        <w:rFonts w:ascii="Calibri" w:hAnsi="Calibri"/>
        <w:sz w:val="18"/>
        <w:szCs w:val="20"/>
      </w:rPr>
      <w:fldChar w:fldCharType="begin"/>
    </w:r>
    <w:r>
      <w:rPr>
        <w:rFonts w:ascii="Calibri" w:hAnsi="Calibri"/>
        <w:sz w:val="18"/>
        <w:szCs w:val="20"/>
      </w:rPr>
      <w:instrText xml:space="preserve"> PAGE   \* MERGEFORMAT </w:instrText>
    </w:r>
    <w:r>
      <w:rPr>
        <w:rFonts w:ascii="Calibri" w:hAnsi="Calibri"/>
        <w:sz w:val="18"/>
        <w:szCs w:val="20"/>
      </w:rPr>
      <w:fldChar w:fldCharType="separate"/>
    </w:r>
    <w:r w:rsidR="00D5447B">
      <w:rPr>
        <w:rFonts w:ascii="Calibri" w:hAnsi="Calibri"/>
        <w:noProof/>
        <w:sz w:val="18"/>
        <w:szCs w:val="20"/>
      </w:rPr>
      <w:t>1</w:t>
    </w:r>
    <w:r>
      <w:rPr>
        <w:rFonts w:ascii="Calibri" w:hAnsi="Calibri"/>
        <w:sz w:val="18"/>
        <w:szCs w:val="20"/>
      </w:rPr>
      <w:fldChar w:fldCharType="end"/>
    </w:r>
    <w:r w:rsidR="00D5447B">
      <w:rPr>
        <w:rFonts w:ascii="Calibri" w:hAnsi="Calibri"/>
        <w:sz w:val="18"/>
        <w:szCs w:val="20"/>
      </w:rPr>
      <w:t xml:space="preserve"> de 11</w:t>
    </w:r>
  </w:p>
  <w:p w:rsidR="00D94158" w:rsidRDefault="00D941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BC" w:rsidRDefault="00FB46BC" w:rsidP="00AA16AC">
      <w:pPr>
        <w:spacing w:after="0" w:line="240" w:lineRule="auto"/>
      </w:pPr>
      <w:r>
        <w:separator/>
      </w:r>
    </w:p>
  </w:footnote>
  <w:footnote w:type="continuationSeparator" w:id="0">
    <w:p w:rsidR="00FB46BC" w:rsidRDefault="00FB46BC" w:rsidP="00AA16AC">
      <w:pPr>
        <w:spacing w:after="0" w:line="240" w:lineRule="auto"/>
      </w:pPr>
      <w:r>
        <w:continuationSeparator/>
      </w:r>
    </w:p>
  </w:footnote>
  <w:footnote w:id="1">
    <w:p w:rsidR="00DF520D" w:rsidRPr="005D2345" w:rsidRDefault="00DF520D" w:rsidP="00DF520D">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DF520D" w:rsidRPr="005D2345" w:rsidRDefault="00DF520D" w:rsidP="00DF520D">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sz w:val="14"/>
          <w:szCs w:val="14"/>
        </w:rPr>
      </w:pPr>
      <w:r w:rsidRPr="005D2345">
        <w:rPr>
          <w:sz w:val="14"/>
          <w:szCs w:val="14"/>
        </w:rPr>
        <w:t xml:space="preserve">Juicio de revisión constitucional electoral. SUP-JRC-244/2001. Partido Acción Nacional. 13 de febrero de 2002. Unanimidad de votos. Ponente: José de Jesús Orozco Henríquez. Secretario: Armando I. </w:t>
      </w:r>
      <w:r w:rsidRPr="005D2345">
        <w:rPr>
          <w:sz w:val="14"/>
          <w:szCs w:val="14"/>
        </w:rPr>
        <w:t>Maitret Hernández.</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DF520D" w:rsidRDefault="00DF520D" w:rsidP="00DF520D">
      <w:pPr>
        <w:pStyle w:val="Textonotapie"/>
        <w:jc w:val="both"/>
        <w:rPr>
          <w:sz w:val="14"/>
          <w:szCs w:val="14"/>
        </w:rPr>
      </w:pPr>
    </w:p>
    <w:p w:rsidR="00DF520D" w:rsidRPr="005D2345" w:rsidRDefault="00DF520D" w:rsidP="00DF520D">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w:t>
      </w:r>
      <w:r w:rsidRPr="005D2345">
        <w:rPr>
          <w:sz w:val="14"/>
          <w:szCs w:val="14"/>
        </w:rPr>
        <w:t xml:space="preserve">Ojesto Martínez Porcayo. Secretario: Arturo Martín del Campo Morales. </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DF520D" w:rsidRPr="005D2345" w:rsidRDefault="00DF520D" w:rsidP="00DF520D">
      <w:pPr>
        <w:pStyle w:val="Textonotapie"/>
        <w:jc w:val="both"/>
        <w:rPr>
          <w:sz w:val="14"/>
          <w:szCs w:val="14"/>
        </w:rPr>
      </w:pPr>
    </w:p>
    <w:p w:rsidR="00DF520D" w:rsidRPr="005D2345" w:rsidRDefault="00DF520D" w:rsidP="00DF520D">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AC" w:rsidRPr="00AA16AC" w:rsidRDefault="00AA16AC" w:rsidP="00CC5AF1">
    <w:pPr>
      <w:tabs>
        <w:tab w:val="left" w:pos="1245"/>
        <w:tab w:val="right" w:pos="9072"/>
      </w:tabs>
      <w:spacing w:after="0" w:line="240" w:lineRule="auto"/>
      <w:jc w:val="right"/>
      <w:rPr>
        <w:rFonts w:ascii="Arial Black" w:eastAsia="Times New Roman" w:hAnsi="Arial Black" w:cs="Arial"/>
        <w:sz w:val="24"/>
        <w:lang w:val="es-ES" w:eastAsia="es-ES"/>
      </w:rPr>
    </w:pPr>
    <w:r w:rsidRPr="00AA16AC">
      <w:rPr>
        <w:rFonts w:ascii="Arial" w:eastAsia="Calibri" w:hAnsi="Arial" w:cs="Arial"/>
        <w:b/>
        <w:noProof/>
        <w:lang w:eastAsia="es-MX"/>
      </w:rPr>
      <w:drawing>
        <wp:anchor distT="0" distB="0" distL="114300" distR="114300" simplePos="0" relativeHeight="251660288" behindDoc="1" locked="0" layoutInCell="1" allowOverlap="1" wp14:anchorId="415CF759" wp14:editId="2689DFA2">
          <wp:simplePos x="0" y="0"/>
          <wp:positionH relativeFrom="column">
            <wp:posOffset>-50165</wp:posOffset>
          </wp:positionH>
          <wp:positionV relativeFrom="paragraph">
            <wp:posOffset>-320675</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Pr="00AA16AC">
      <w:rPr>
        <w:rFonts w:ascii="Arial Black" w:eastAsia="Times New Roman" w:hAnsi="Arial Black" w:cs="Arial"/>
        <w:sz w:val="24"/>
        <w:lang w:val="es-ES" w:eastAsia="es-ES"/>
      </w:rPr>
      <w:tab/>
    </w:r>
    <w:r w:rsidRPr="00AA16AC">
      <w:rPr>
        <w:rFonts w:ascii="Arial Black" w:eastAsia="Times New Roman" w:hAnsi="Arial Black" w:cs="Arial"/>
        <w:sz w:val="28"/>
        <w:lang w:val="es-ES" w:eastAsia="es-ES"/>
      </w:rPr>
      <w:t>I</w:t>
    </w:r>
    <w:r w:rsidRPr="00AA16AC">
      <w:rPr>
        <w:rFonts w:ascii="Arial Black" w:eastAsia="Times New Roman" w:hAnsi="Arial Black" w:cs="Arial"/>
        <w:lang w:val="es-ES" w:eastAsia="es-ES"/>
      </w:rPr>
      <w:t>NSTITUTO</w:t>
    </w:r>
    <w:r w:rsidRPr="00AA16AC">
      <w:rPr>
        <w:rFonts w:ascii="Arial Black" w:eastAsia="Times New Roman" w:hAnsi="Arial Black" w:cs="Arial"/>
        <w:sz w:val="24"/>
        <w:lang w:val="es-ES" w:eastAsia="es-ES"/>
      </w:rPr>
      <w:t xml:space="preserve"> </w:t>
    </w:r>
    <w:r w:rsidRPr="00AA16AC">
      <w:rPr>
        <w:rFonts w:ascii="Arial Black" w:eastAsia="Times New Roman" w:hAnsi="Arial Black" w:cs="Arial"/>
        <w:sz w:val="28"/>
        <w:lang w:val="es-ES" w:eastAsia="es-ES"/>
      </w:rPr>
      <w:t>E</w:t>
    </w:r>
    <w:r w:rsidRPr="00AA16AC">
      <w:rPr>
        <w:rFonts w:ascii="Arial Black" w:eastAsia="Times New Roman" w:hAnsi="Arial Black" w:cs="Arial"/>
        <w:lang w:val="es-ES" w:eastAsia="es-ES"/>
      </w:rPr>
      <w:t xml:space="preserve">LECTORAL DEL </w:t>
    </w:r>
    <w:r w:rsidRPr="00AA16AC">
      <w:rPr>
        <w:rFonts w:ascii="Arial Black" w:eastAsia="Times New Roman" w:hAnsi="Arial Black" w:cs="Arial"/>
        <w:sz w:val="28"/>
        <w:lang w:val="es-ES" w:eastAsia="es-ES"/>
      </w:rPr>
      <w:t>E</w:t>
    </w:r>
    <w:r w:rsidRPr="00AA16AC">
      <w:rPr>
        <w:rFonts w:ascii="Arial Black" w:eastAsia="Times New Roman" w:hAnsi="Arial Black" w:cs="Arial"/>
        <w:lang w:val="es-ES" w:eastAsia="es-ES"/>
      </w:rPr>
      <w:t>STADO</w:t>
    </w:r>
  </w:p>
  <w:p w:rsidR="00AA16AC" w:rsidRDefault="00AA16AC" w:rsidP="00AA16AC">
    <w:pPr>
      <w:tabs>
        <w:tab w:val="left" w:pos="2880"/>
        <w:tab w:val="right" w:pos="9072"/>
      </w:tabs>
      <w:spacing w:after="0" w:line="240" w:lineRule="auto"/>
      <w:jc w:val="right"/>
      <w:rPr>
        <w:rFonts w:ascii="Calibri" w:eastAsia="Times New Roman" w:hAnsi="Calibri" w:cs="Arial"/>
        <w:b/>
        <w:sz w:val="24"/>
        <w:lang w:val="es-ES" w:eastAsia="es-ES"/>
      </w:rPr>
    </w:pPr>
    <w:r w:rsidRPr="00AA16AC">
      <w:rPr>
        <w:rFonts w:ascii="Calibri" w:eastAsia="Times New Roman" w:hAnsi="Calibri" w:cs="Times New Roman"/>
        <w:b/>
        <w:noProof/>
        <w:sz w:val="24"/>
        <w:szCs w:val="24"/>
        <w:lang w:eastAsia="es-MX"/>
      </w:rPr>
      <mc:AlternateContent>
        <mc:Choice Requires="wps">
          <w:drawing>
            <wp:anchor distT="0" distB="0" distL="114300" distR="114300" simplePos="0" relativeHeight="251659264" behindDoc="0" locked="0" layoutInCell="1" allowOverlap="1" wp14:anchorId="12551C93" wp14:editId="6635FB42">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2DA863"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AA16AC">
      <w:rPr>
        <w:rFonts w:ascii="Calibri" w:eastAsia="Times New Roman" w:hAnsi="Calibri" w:cs="Arial"/>
        <w:b/>
        <w:sz w:val="24"/>
        <w:lang w:val="es-ES" w:eastAsia="es-ES"/>
      </w:rPr>
      <w:t>PERIODO INTERPROCESO 2018-2020</w:t>
    </w:r>
  </w:p>
  <w:p w:rsidR="00AA16AC" w:rsidRPr="00AA16AC" w:rsidRDefault="00AA16AC" w:rsidP="00AA16AC">
    <w:pPr>
      <w:tabs>
        <w:tab w:val="left" w:pos="2880"/>
        <w:tab w:val="right" w:pos="9072"/>
      </w:tabs>
      <w:spacing w:after="0" w:line="240" w:lineRule="auto"/>
      <w:jc w:val="right"/>
      <w:rPr>
        <w:rFonts w:ascii="Calibri" w:eastAsia="Times New Roman" w:hAnsi="Calibri" w:cs="Arial"/>
        <w:b/>
        <w:sz w:val="24"/>
        <w:lang w:val="es-E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50F1"/>
    <w:multiLevelType w:val="hybridMultilevel"/>
    <w:tmpl w:val="B55AD37E"/>
    <w:lvl w:ilvl="0" w:tplc="F55463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2E13A8"/>
    <w:multiLevelType w:val="hybridMultilevel"/>
    <w:tmpl w:val="B766579A"/>
    <w:lvl w:ilvl="0" w:tplc="0F7C66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AC"/>
    <w:rsid w:val="00051DC0"/>
    <w:rsid w:val="00060E4F"/>
    <w:rsid w:val="00092107"/>
    <w:rsid w:val="000C791E"/>
    <w:rsid w:val="000E5F8C"/>
    <w:rsid w:val="00116BE3"/>
    <w:rsid w:val="00180D6D"/>
    <w:rsid w:val="001A0E75"/>
    <w:rsid w:val="001E243F"/>
    <w:rsid w:val="001E7459"/>
    <w:rsid w:val="002477C5"/>
    <w:rsid w:val="0026741D"/>
    <w:rsid w:val="0031245D"/>
    <w:rsid w:val="003828AD"/>
    <w:rsid w:val="003C1931"/>
    <w:rsid w:val="004F7686"/>
    <w:rsid w:val="00533496"/>
    <w:rsid w:val="005E6E25"/>
    <w:rsid w:val="00620273"/>
    <w:rsid w:val="006D78E8"/>
    <w:rsid w:val="007242DB"/>
    <w:rsid w:val="00767CEB"/>
    <w:rsid w:val="007935E2"/>
    <w:rsid w:val="007A4580"/>
    <w:rsid w:val="008324B5"/>
    <w:rsid w:val="00847043"/>
    <w:rsid w:val="0084774B"/>
    <w:rsid w:val="00847F29"/>
    <w:rsid w:val="00884283"/>
    <w:rsid w:val="008A0698"/>
    <w:rsid w:val="008C53E6"/>
    <w:rsid w:val="008D0282"/>
    <w:rsid w:val="00902947"/>
    <w:rsid w:val="00922277"/>
    <w:rsid w:val="00926494"/>
    <w:rsid w:val="00934CC9"/>
    <w:rsid w:val="00A03A8F"/>
    <w:rsid w:val="00A6693F"/>
    <w:rsid w:val="00AA16AC"/>
    <w:rsid w:val="00B01EA6"/>
    <w:rsid w:val="00B574EC"/>
    <w:rsid w:val="00BD1B4B"/>
    <w:rsid w:val="00C86D4A"/>
    <w:rsid w:val="00C91BDE"/>
    <w:rsid w:val="00CC5AF1"/>
    <w:rsid w:val="00D5447B"/>
    <w:rsid w:val="00D56C2B"/>
    <w:rsid w:val="00D94158"/>
    <w:rsid w:val="00DC76E3"/>
    <w:rsid w:val="00DF520D"/>
    <w:rsid w:val="00E44384"/>
    <w:rsid w:val="00E8293F"/>
    <w:rsid w:val="00E845DC"/>
    <w:rsid w:val="00E96F12"/>
    <w:rsid w:val="00EC58F7"/>
    <w:rsid w:val="00F22D78"/>
    <w:rsid w:val="00F31D13"/>
    <w:rsid w:val="00F61D6C"/>
    <w:rsid w:val="00F6251B"/>
    <w:rsid w:val="00FB287F"/>
    <w:rsid w:val="00FB46BC"/>
    <w:rsid w:val="00FC0C89"/>
    <w:rsid w:val="00FD1032"/>
    <w:rsid w:val="00FD5204"/>
    <w:rsid w:val="00FE52A0"/>
    <w:rsid w:val="00FF1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D29E2-2954-4C31-AEFC-91195F7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6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6AC"/>
  </w:style>
  <w:style w:type="paragraph" w:styleId="Piedepgina">
    <w:name w:val="footer"/>
    <w:basedOn w:val="Normal"/>
    <w:link w:val="PiedepginaCar"/>
    <w:uiPriority w:val="99"/>
    <w:unhideWhenUsed/>
    <w:rsid w:val="00AA16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6AC"/>
  </w:style>
  <w:style w:type="paragraph" w:styleId="Prrafodelista">
    <w:name w:val="List Paragraph"/>
    <w:basedOn w:val="Normal"/>
    <w:uiPriority w:val="34"/>
    <w:qFormat/>
    <w:rsid w:val="008324B5"/>
    <w:pPr>
      <w:ind w:left="720"/>
      <w:contextualSpacing/>
    </w:pPr>
  </w:style>
  <w:style w:type="table" w:customStyle="1" w:styleId="Tabladecuadrcula31">
    <w:name w:val="Tabla de cuadrícula 31"/>
    <w:basedOn w:val="Tablanormal"/>
    <w:uiPriority w:val="48"/>
    <w:rsid w:val="00847043"/>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84774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DF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F520D"/>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DF5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2656">
      <w:bodyDiv w:val="1"/>
      <w:marLeft w:val="0"/>
      <w:marRight w:val="0"/>
      <w:marTop w:val="0"/>
      <w:marBottom w:val="0"/>
      <w:divBdr>
        <w:top w:val="none" w:sz="0" w:space="0" w:color="auto"/>
        <w:left w:val="none" w:sz="0" w:space="0" w:color="auto"/>
        <w:bottom w:val="none" w:sz="0" w:space="0" w:color="auto"/>
        <w:right w:val="none" w:sz="0" w:space="0" w:color="auto"/>
      </w:divBdr>
    </w:div>
    <w:div w:id="93215651">
      <w:bodyDiv w:val="1"/>
      <w:marLeft w:val="0"/>
      <w:marRight w:val="0"/>
      <w:marTop w:val="0"/>
      <w:marBottom w:val="0"/>
      <w:divBdr>
        <w:top w:val="none" w:sz="0" w:space="0" w:color="auto"/>
        <w:left w:val="none" w:sz="0" w:space="0" w:color="auto"/>
        <w:bottom w:val="none" w:sz="0" w:space="0" w:color="auto"/>
        <w:right w:val="none" w:sz="0" w:space="0" w:color="auto"/>
      </w:divBdr>
    </w:div>
    <w:div w:id="178664134">
      <w:bodyDiv w:val="1"/>
      <w:marLeft w:val="0"/>
      <w:marRight w:val="0"/>
      <w:marTop w:val="0"/>
      <w:marBottom w:val="0"/>
      <w:divBdr>
        <w:top w:val="none" w:sz="0" w:space="0" w:color="auto"/>
        <w:left w:val="none" w:sz="0" w:space="0" w:color="auto"/>
        <w:bottom w:val="none" w:sz="0" w:space="0" w:color="auto"/>
        <w:right w:val="none" w:sz="0" w:space="0" w:color="auto"/>
      </w:divBdr>
    </w:div>
    <w:div w:id="614798805">
      <w:bodyDiv w:val="1"/>
      <w:marLeft w:val="0"/>
      <w:marRight w:val="0"/>
      <w:marTop w:val="0"/>
      <w:marBottom w:val="0"/>
      <w:divBdr>
        <w:top w:val="none" w:sz="0" w:space="0" w:color="auto"/>
        <w:left w:val="none" w:sz="0" w:space="0" w:color="auto"/>
        <w:bottom w:val="none" w:sz="0" w:space="0" w:color="auto"/>
        <w:right w:val="none" w:sz="0" w:space="0" w:color="auto"/>
      </w:divBdr>
    </w:div>
    <w:div w:id="1158301568">
      <w:bodyDiv w:val="1"/>
      <w:marLeft w:val="0"/>
      <w:marRight w:val="0"/>
      <w:marTop w:val="0"/>
      <w:marBottom w:val="0"/>
      <w:divBdr>
        <w:top w:val="none" w:sz="0" w:space="0" w:color="auto"/>
        <w:left w:val="none" w:sz="0" w:space="0" w:color="auto"/>
        <w:bottom w:val="none" w:sz="0" w:space="0" w:color="auto"/>
        <w:right w:val="none" w:sz="0" w:space="0" w:color="auto"/>
      </w:divBdr>
    </w:div>
    <w:div w:id="1158308918">
      <w:bodyDiv w:val="1"/>
      <w:marLeft w:val="0"/>
      <w:marRight w:val="0"/>
      <w:marTop w:val="0"/>
      <w:marBottom w:val="0"/>
      <w:divBdr>
        <w:top w:val="none" w:sz="0" w:space="0" w:color="auto"/>
        <w:left w:val="none" w:sz="0" w:space="0" w:color="auto"/>
        <w:bottom w:val="none" w:sz="0" w:space="0" w:color="auto"/>
        <w:right w:val="none" w:sz="0" w:space="0" w:color="auto"/>
      </w:divBdr>
    </w:div>
    <w:div w:id="1259024269">
      <w:bodyDiv w:val="1"/>
      <w:marLeft w:val="0"/>
      <w:marRight w:val="0"/>
      <w:marTop w:val="0"/>
      <w:marBottom w:val="0"/>
      <w:divBdr>
        <w:top w:val="none" w:sz="0" w:space="0" w:color="auto"/>
        <w:left w:val="none" w:sz="0" w:space="0" w:color="auto"/>
        <w:bottom w:val="none" w:sz="0" w:space="0" w:color="auto"/>
        <w:right w:val="none" w:sz="0" w:space="0" w:color="auto"/>
      </w:divBdr>
    </w:div>
    <w:div w:id="16409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962A-60FA-460B-8F60-2CF784EE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3330</Words>
  <Characters>18318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dcterms:created xsi:type="dcterms:W3CDTF">2019-06-06T17:28:00Z</dcterms:created>
  <dcterms:modified xsi:type="dcterms:W3CDTF">2019-06-06T17:28:00Z</dcterms:modified>
</cp:coreProperties>
</file>