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C2AB0" w14:textId="217EBE92" w:rsidR="00B4250A" w:rsidRDefault="004B1D35" w:rsidP="00B4250A">
      <w:pPr>
        <w:jc w:val="right"/>
        <w:rPr>
          <w:rFonts w:ascii="Arial" w:eastAsia="Calibri" w:hAnsi="Arial" w:cs="Arial"/>
          <w:b/>
          <w:sz w:val="22"/>
          <w:szCs w:val="22"/>
          <w:lang w:val="es-MX" w:eastAsia="en-US"/>
        </w:rPr>
      </w:pPr>
      <w:r>
        <w:rPr>
          <w:rFonts w:ascii="Arial" w:eastAsia="Calibri" w:hAnsi="Arial" w:cs="Arial"/>
          <w:b/>
          <w:sz w:val="22"/>
          <w:szCs w:val="22"/>
          <w:lang w:val="es-MX" w:eastAsia="en-US"/>
        </w:rPr>
        <w:t>IEE/CG/A</w:t>
      </w:r>
      <w:r w:rsidR="007F0F5E">
        <w:rPr>
          <w:rFonts w:ascii="Arial" w:eastAsia="Calibri" w:hAnsi="Arial" w:cs="Arial"/>
          <w:b/>
          <w:sz w:val="22"/>
          <w:szCs w:val="22"/>
          <w:lang w:val="es-MX" w:eastAsia="en-US"/>
        </w:rPr>
        <w:t>047</w:t>
      </w:r>
      <w:r>
        <w:rPr>
          <w:rFonts w:ascii="Arial" w:eastAsia="Calibri" w:hAnsi="Arial" w:cs="Arial"/>
          <w:b/>
          <w:sz w:val="22"/>
          <w:szCs w:val="22"/>
          <w:lang w:val="es-MX" w:eastAsia="en-US"/>
        </w:rPr>
        <w:t>/2021</w:t>
      </w:r>
    </w:p>
    <w:p w14:paraId="532E9B3F" w14:textId="77777777" w:rsidR="00B4250A" w:rsidRDefault="00B4250A" w:rsidP="00B4250A">
      <w:pPr>
        <w:jc w:val="right"/>
        <w:rPr>
          <w:rFonts w:ascii="Arial" w:eastAsia="Calibri" w:hAnsi="Arial" w:cs="Arial"/>
          <w:b/>
          <w:sz w:val="22"/>
          <w:szCs w:val="22"/>
          <w:lang w:val="es-MX" w:eastAsia="en-US"/>
        </w:rPr>
      </w:pPr>
    </w:p>
    <w:p w14:paraId="3E069CA6" w14:textId="1661A203" w:rsidR="00B4250A" w:rsidRPr="00C058CB" w:rsidRDefault="00E65B65" w:rsidP="00B4250A">
      <w:pPr>
        <w:jc w:val="both"/>
        <w:rPr>
          <w:rFonts w:ascii="Arial" w:eastAsia="Calibri" w:hAnsi="Arial" w:cs="Arial"/>
          <w:b/>
          <w:sz w:val="22"/>
          <w:szCs w:val="22"/>
          <w:lang w:eastAsia="en-US"/>
        </w:rPr>
      </w:pPr>
      <w:r w:rsidRPr="00C058CB">
        <w:rPr>
          <w:rFonts w:ascii="Arial" w:eastAsia="Calibri" w:hAnsi="Arial" w:cs="Arial"/>
          <w:b/>
          <w:sz w:val="22"/>
          <w:szCs w:val="22"/>
          <w:lang w:val="es-MX" w:eastAsia="en-US"/>
        </w:rPr>
        <w:t xml:space="preserve">ACUERDO </w:t>
      </w:r>
      <w:r w:rsidRPr="00C058CB">
        <w:rPr>
          <w:rFonts w:ascii="Arial" w:eastAsia="Calibri" w:hAnsi="Arial" w:cs="Arial"/>
          <w:b/>
          <w:bCs/>
          <w:sz w:val="22"/>
          <w:szCs w:val="22"/>
          <w:shd w:val="clear" w:color="auto" w:fill="FFFFFF"/>
          <w:lang w:val="es-MX" w:eastAsia="en-US"/>
        </w:rPr>
        <w:t xml:space="preserve">QUE EMITE EL CONSEJO GENERAL DEL INSTITUTO </w:t>
      </w:r>
      <w:r>
        <w:rPr>
          <w:rFonts w:ascii="Arial" w:eastAsia="Calibri" w:hAnsi="Arial" w:cs="Arial"/>
          <w:b/>
          <w:bCs/>
          <w:sz w:val="22"/>
          <w:szCs w:val="22"/>
          <w:shd w:val="clear" w:color="auto" w:fill="FFFFFF"/>
          <w:lang w:val="es-MX" w:eastAsia="en-US"/>
        </w:rPr>
        <w:t xml:space="preserve">ELECTORAL DEL ESTADO DE COLIMA, RELATIVO AL </w:t>
      </w:r>
      <w:r w:rsidRPr="00C058CB">
        <w:rPr>
          <w:rFonts w:ascii="Arial" w:eastAsia="Calibri" w:hAnsi="Arial" w:cs="Arial"/>
          <w:b/>
          <w:sz w:val="22"/>
          <w:szCs w:val="22"/>
          <w:lang w:val="es-MX" w:eastAsia="en-US"/>
        </w:rPr>
        <w:t>DESAHOGO DE LA CONSULTA QUE POR ESCRITO Y CON FUNDAMENTO EN EL ARTÍCULO 114, FRACCIÓN X, DEL CÓDIGO ELECTORAL DEL ESTADO, FORMULÓ</w:t>
      </w:r>
      <w:r>
        <w:rPr>
          <w:rFonts w:ascii="Arial" w:eastAsia="Calibri" w:hAnsi="Arial" w:cs="Arial"/>
          <w:b/>
          <w:sz w:val="22"/>
          <w:szCs w:val="22"/>
          <w:lang w:val="es-MX" w:eastAsia="en-US"/>
        </w:rPr>
        <w:t xml:space="preserve"> EL PARTIDO </w:t>
      </w:r>
      <w:r w:rsidR="00B4250A">
        <w:rPr>
          <w:rFonts w:ascii="Arial" w:eastAsia="Calibri" w:hAnsi="Arial" w:cs="Arial"/>
          <w:b/>
          <w:sz w:val="22"/>
          <w:szCs w:val="22"/>
          <w:lang w:val="es-MX" w:eastAsia="en-US"/>
        </w:rPr>
        <w:t>MORENA.</w:t>
      </w:r>
    </w:p>
    <w:p w14:paraId="1EB46133" w14:textId="77777777" w:rsidR="00B4250A" w:rsidRDefault="00B4250A" w:rsidP="00B4250A">
      <w:pPr>
        <w:jc w:val="both"/>
        <w:rPr>
          <w:rFonts w:ascii="Arial" w:eastAsia="Calibri" w:hAnsi="Arial" w:cs="Arial"/>
          <w:b/>
          <w:sz w:val="22"/>
          <w:szCs w:val="22"/>
          <w:lang w:eastAsia="en-US"/>
        </w:rPr>
      </w:pPr>
    </w:p>
    <w:p w14:paraId="0901B3A7" w14:textId="77777777" w:rsidR="00B4250A" w:rsidRPr="00D44306" w:rsidRDefault="00B4250A" w:rsidP="00B4250A">
      <w:pPr>
        <w:jc w:val="both"/>
        <w:rPr>
          <w:rFonts w:ascii="Arial" w:eastAsia="Calibri" w:hAnsi="Arial" w:cs="Arial"/>
          <w:b/>
          <w:sz w:val="22"/>
          <w:szCs w:val="22"/>
          <w:lang w:eastAsia="en-US"/>
        </w:rPr>
      </w:pPr>
    </w:p>
    <w:p w14:paraId="2155C425" w14:textId="77777777" w:rsidR="00B4250A" w:rsidRPr="00D44306" w:rsidRDefault="00B4250A" w:rsidP="00B4250A">
      <w:pPr>
        <w:spacing w:line="360" w:lineRule="auto"/>
        <w:jc w:val="center"/>
        <w:rPr>
          <w:rFonts w:ascii="Arial" w:eastAsia="Calibri" w:hAnsi="Arial" w:cs="Arial"/>
          <w:b/>
          <w:sz w:val="22"/>
          <w:szCs w:val="22"/>
          <w:lang w:val="es-MX" w:eastAsia="en-US"/>
        </w:rPr>
      </w:pPr>
      <w:r w:rsidRPr="00D44306">
        <w:rPr>
          <w:rFonts w:ascii="Arial" w:eastAsia="Calibri" w:hAnsi="Arial" w:cs="Arial"/>
          <w:b/>
          <w:sz w:val="22"/>
          <w:szCs w:val="22"/>
          <w:lang w:val="es-MX" w:eastAsia="en-US"/>
        </w:rPr>
        <w:t>A N T E C E D E N T E S</w:t>
      </w:r>
    </w:p>
    <w:p w14:paraId="725274F0" w14:textId="77777777" w:rsidR="00B4250A" w:rsidRPr="00D44306" w:rsidRDefault="00B4250A" w:rsidP="00B4250A">
      <w:pPr>
        <w:spacing w:line="360" w:lineRule="auto"/>
        <w:jc w:val="center"/>
        <w:rPr>
          <w:rFonts w:ascii="Arial" w:eastAsia="Calibri" w:hAnsi="Arial" w:cs="Arial"/>
          <w:b/>
          <w:sz w:val="22"/>
          <w:szCs w:val="22"/>
          <w:lang w:val="es-MX" w:eastAsia="en-US"/>
        </w:rPr>
      </w:pPr>
    </w:p>
    <w:p w14:paraId="605D0F8D" w14:textId="77777777" w:rsidR="00B4250A" w:rsidRPr="005326B1" w:rsidRDefault="00B4250A" w:rsidP="004B1D35">
      <w:pPr>
        <w:pStyle w:val="Prrafodelista"/>
        <w:numPr>
          <w:ilvl w:val="0"/>
          <w:numId w:val="1"/>
        </w:numPr>
        <w:spacing w:after="0" w:line="360" w:lineRule="auto"/>
        <w:ind w:left="0" w:firstLine="0"/>
        <w:jc w:val="both"/>
        <w:rPr>
          <w:rFonts w:ascii="Arial" w:eastAsia="Calibri" w:hAnsi="Arial" w:cs="Arial"/>
        </w:rPr>
      </w:pPr>
      <w:r w:rsidRPr="005C4F56">
        <w:rPr>
          <w:rFonts w:ascii="Arial" w:hAnsi="Arial" w:cs="Arial"/>
          <w:bCs/>
          <w:lang w:val="es-ES"/>
        </w:rPr>
        <w:t xml:space="preserve">Con fecha 14 de agosto de 2020, mediante Acuerdo IEE/CG/A055/2020, aprobado por el Consejo General del Instituto Electoral del Estado de Colima, durante la Trigésima Cuarta Sesión Extraordinaria del Periodo Interproceso 2018-2020, se emitieron los </w:t>
      </w:r>
      <w:r w:rsidRPr="005C4F56">
        <w:rPr>
          <w:rFonts w:ascii="Arial" w:hAnsi="Arial" w:cs="Arial"/>
          <w:bCs/>
          <w:i/>
          <w:iCs/>
          <w:lang w:val="es-ES"/>
        </w:rPr>
        <w:t>“Lineamientos</w:t>
      </w:r>
      <w:r w:rsidRPr="005C4F56">
        <w:rPr>
          <w:rFonts w:ascii="Arial" w:hAnsi="Arial" w:cs="Arial"/>
          <w:bCs/>
          <w:i/>
          <w:lang w:val="es-CO"/>
        </w:rPr>
        <w:t xml:space="preserve"> del Instituto Electoral del Estado de Colima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w:t>
      </w:r>
      <w:r>
        <w:rPr>
          <w:rFonts w:ascii="Arial" w:hAnsi="Arial" w:cs="Arial"/>
          <w:bCs/>
          <w:i/>
          <w:lang w:val="es-CO"/>
        </w:rPr>
        <w:t>rios que en su caso se deriven”</w:t>
      </w:r>
      <w:r w:rsidRPr="005C4F56">
        <w:rPr>
          <w:rFonts w:ascii="Arial" w:hAnsi="Arial" w:cs="Arial"/>
          <w:bCs/>
          <w:iCs/>
          <w:lang w:val="es-CO"/>
        </w:rPr>
        <w:t>.</w:t>
      </w:r>
    </w:p>
    <w:p w14:paraId="6D2A7182" w14:textId="77777777" w:rsidR="00B4250A" w:rsidRPr="005326B1" w:rsidRDefault="00B4250A" w:rsidP="004B1D35">
      <w:pPr>
        <w:pStyle w:val="Prrafodelista"/>
        <w:spacing w:after="0" w:line="360" w:lineRule="auto"/>
        <w:rPr>
          <w:rFonts w:ascii="Arial" w:eastAsia="Calibri" w:hAnsi="Arial" w:cs="Arial"/>
        </w:rPr>
      </w:pPr>
    </w:p>
    <w:p w14:paraId="1051678A" w14:textId="77777777" w:rsidR="00B4250A" w:rsidRPr="005C4F56" w:rsidRDefault="00B4250A" w:rsidP="004B1D35">
      <w:pPr>
        <w:pStyle w:val="Prrafodelista"/>
        <w:numPr>
          <w:ilvl w:val="0"/>
          <w:numId w:val="1"/>
        </w:numPr>
        <w:spacing w:after="0" w:line="360" w:lineRule="auto"/>
        <w:ind w:left="0" w:firstLine="0"/>
        <w:jc w:val="both"/>
        <w:rPr>
          <w:rFonts w:ascii="Arial" w:eastAsia="Calibri" w:hAnsi="Arial" w:cs="Arial"/>
        </w:rPr>
      </w:pPr>
      <w:r w:rsidRPr="005326B1">
        <w:rPr>
          <w:rFonts w:ascii="Arial" w:eastAsia="Calibri" w:hAnsi="Arial" w:cs="Arial"/>
          <w:lang w:val="es-ES"/>
        </w:rPr>
        <w:t>El 2 de octubre de 2020, el Tribunal Electoral del Estado de Colima dictó la Sentencia en los Recursos de Apelación número RA-02/2020 y Acumulados, promovidos por los partidos políticos, Acción Nacional, Revolucionario Institucional y Verde Ecologista de México, en el sentido de declarar infundados los agravios hechos valer por los referidos actores y confirmar, en lo que fue materia de impugnación, el Acuerdo IEE/CG/A055/2020.</w:t>
      </w:r>
    </w:p>
    <w:p w14:paraId="1DFDCE69" w14:textId="77777777" w:rsidR="00B4250A" w:rsidRPr="005C4F56" w:rsidRDefault="00B4250A" w:rsidP="004B1D35">
      <w:pPr>
        <w:pStyle w:val="Prrafodelista"/>
        <w:spacing w:after="0" w:line="360" w:lineRule="auto"/>
        <w:rPr>
          <w:rFonts w:ascii="Arial" w:eastAsia="Calibri" w:hAnsi="Arial" w:cs="Arial"/>
        </w:rPr>
      </w:pPr>
    </w:p>
    <w:p w14:paraId="2CE44B3E" w14:textId="77777777" w:rsidR="00B4250A" w:rsidRPr="00F627DD" w:rsidRDefault="00B4250A" w:rsidP="004B1D35">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rPr>
      </w:pPr>
      <w:r w:rsidRPr="00FE3362">
        <w:rPr>
          <w:rFonts w:ascii="Arial" w:eastAsia="Calibri" w:hAnsi="Arial" w:cs="Arial"/>
        </w:rPr>
        <w:t xml:space="preserve">Con fecha 02 de noviembre de 2020, la Sala Regional Toluca del Tribunal Electoral del Poder Judicial de la Federación emitió la Resolución identificada con la clave y número ST-JRC-30/2020 y ST-JDC-193/2020 </w:t>
      </w:r>
      <w:r w:rsidRPr="00FE3362">
        <w:rPr>
          <w:rFonts w:ascii="Arial" w:eastAsia="Calibri" w:hAnsi="Arial" w:cs="Arial"/>
          <w:lang w:val="es-ES"/>
        </w:rPr>
        <w:t xml:space="preserve">acumulados, instaurados en el </w:t>
      </w:r>
      <w:r w:rsidRPr="00FE3362">
        <w:rPr>
          <w:rFonts w:ascii="Arial" w:eastAsia="Calibri" w:hAnsi="Arial" w:cs="Arial"/>
          <w:bCs/>
        </w:rPr>
        <w:t xml:space="preserve">Juicio </w:t>
      </w:r>
      <w:r>
        <w:rPr>
          <w:rFonts w:ascii="Arial" w:eastAsia="Calibri" w:hAnsi="Arial" w:cs="Arial"/>
          <w:bCs/>
        </w:rPr>
        <w:t>d</w:t>
      </w:r>
      <w:r w:rsidRPr="00FE3362">
        <w:rPr>
          <w:rFonts w:ascii="Arial" w:eastAsia="Calibri" w:hAnsi="Arial" w:cs="Arial"/>
          <w:bCs/>
        </w:rPr>
        <w:t xml:space="preserve">e Revisión Constitucional Electoral </w:t>
      </w:r>
      <w:r>
        <w:rPr>
          <w:rFonts w:ascii="Arial" w:eastAsia="Calibri" w:hAnsi="Arial" w:cs="Arial"/>
          <w:bCs/>
        </w:rPr>
        <w:t>y</w:t>
      </w:r>
      <w:r w:rsidRPr="00FE3362">
        <w:rPr>
          <w:rFonts w:ascii="Arial" w:eastAsia="Calibri" w:hAnsi="Arial" w:cs="Arial"/>
          <w:bCs/>
        </w:rPr>
        <w:t xml:space="preserve"> Juicio para la Protección de los Derechos Político-Electorales </w:t>
      </w:r>
      <w:r>
        <w:rPr>
          <w:rFonts w:ascii="Arial" w:eastAsia="Calibri" w:hAnsi="Arial" w:cs="Arial"/>
          <w:bCs/>
        </w:rPr>
        <w:t>d</w:t>
      </w:r>
      <w:r w:rsidRPr="00FE3362">
        <w:rPr>
          <w:rFonts w:ascii="Arial" w:eastAsia="Calibri" w:hAnsi="Arial" w:cs="Arial"/>
          <w:bCs/>
        </w:rPr>
        <w:t xml:space="preserve">el </w:t>
      </w:r>
      <w:r w:rsidRPr="00FE3362">
        <w:rPr>
          <w:rFonts w:ascii="Arial" w:eastAsia="Calibri" w:hAnsi="Arial" w:cs="Arial"/>
          <w:bCs/>
          <w:lang w:val="es-ES"/>
        </w:rPr>
        <w:t>Ciudadano</w:t>
      </w:r>
      <w:r>
        <w:rPr>
          <w:rFonts w:ascii="Arial" w:eastAsia="Calibri" w:hAnsi="Arial" w:cs="Arial"/>
          <w:bCs/>
          <w:lang w:val="es-ES"/>
        </w:rPr>
        <w:t>,</w:t>
      </w:r>
      <w:r w:rsidRPr="00FE3362">
        <w:rPr>
          <w:rFonts w:ascii="Arial" w:eastAsia="Calibri" w:hAnsi="Arial" w:cs="Arial"/>
          <w:lang w:val="es-ES"/>
        </w:rPr>
        <w:t xml:space="preserve"> mediante la cual modifica la Sentencia dictada por el Tribunal Electoral del Estado de Colima, en los Recursos de Apelación RA-02/2020 y sus acumulados RA-03/2020 y RA04/2020, </w:t>
      </w:r>
      <w:r>
        <w:rPr>
          <w:rFonts w:ascii="Arial" w:eastAsia="Calibri" w:hAnsi="Arial" w:cs="Arial"/>
          <w:lang w:val="es-ES"/>
        </w:rPr>
        <w:t>y modifica los L</w:t>
      </w:r>
      <w:r w:rsidRPr="00FE3362">
        <w:rPr>
          <w:rFonts w:ascii="Arial" w:eastAsia="Calibri" w:hAnsi="Arial" w:cs="Arial"/>
          <w:lang w:val="es-ES"/>
        </w:rPr>
        <w:t xml:space="preserve">ineamientos para garantizar el cumplimiento del principio de paridad de género en las postulaciones de candidaturas a diputaciones locales por los principios de mayoría relativa y de representación proporcional, y miembros de los ayuntamientos para el Proceso Electoral </w:t>
      </w:r>
      <w:r>
        <w:rPr>
          <w:rFonts w:ascii="Arial" w:eastAsia="Calibri" w:hAnsi="Arial" w:cs="Arial"/>
          <w:lang w:val="es-ES"/>
        </w:rPr>
        <w:t xml:space="preserve">Local </w:t>
      </w:r>
      <w:r w:rsidRPr="00FE3362">
        <w:rPr>
          <w:rFonts w:ascii="Arial" w:eastAsia="Calibri" w:hAnsi="Arial" w:cs="Arial"/>
          <w:lang w:val="es-ES"/>
        </w:rPr>
        <w:t>2020</w:t>
      </w:r>
      <w:r>
        <w:rPr>
          <w:rFonts w:ascii="Arial" w:eastAsia="Calibri" w:hAnsi="Arial" w:cs="Arial"/>
          <w:lang w:val="es-ES"/>
        </w:rPr>
        <w:t>-</w:t>
      </w:r>
      <w:r w:rsidRPr="00FE3362">
        <w:rPr>
          <w:rFonts w:ascii="Arial" w:eastAsia="Calibri" w:hAnsi="Arial" w:cs="Arial"/>
          <w:lang w:val="es-ES"/>
        </w:rPr>
        <w:t xml:space="preserve">2021, así como los locales </w:t>
      </w:r>
      <w:r w:rsidRPr="00FE3362">
        <w:rPr>
          <w:rFonts w:ascii="Arial" w:eastAsia="Calibri" w:hAnsi="Arial" w:cs="Arial"/>
          <w:lang w:val="es-ES"/>
        </w:rPr>
        <w:lastRenderedPageBreak/>
        <w:t>extraordinarios que, en su caso, se deriven, emitidos por el Consejo General del Instituto Electoral del Estado de Colima.</w:t>
      </w:r>
    </w:p>
    <w:p w14:paraId="4D274CBC" w14:textId="77777777" w:rsidR="00B4250A" w:rsidRPr="00F627DD" w:rsidRDefault="00B4250A" w:rsidP="004B1D35">
      <w:pPr>
        <w:pStyle w:val="Prrafodelista"/>
        <w:spacing w:after="0" w:line="360" w:lineRule="auto"/>
        <w:rPr>
          <w:rFonts w:ascii="Arial" w:eastAsia="Calibri" w:hAnsi="Arial" w:cs="Arial"/>
        </w:rPr>
      </w:pPr>
    </w:p>
    <w:p w14:paraId="77B79F83" w14:textId="77777777" w:rsidR="00B4250A" w:rsidRDefault="00B4250A" w:rsidP="004B1D35">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F627DD">
        <w:rPr>
          <w:rFonts w:ascii="Arial" w:eastAsia="Calibri" w:hAnsi="Arial" w:cs="Arial"/>
        </w:rPr>
        <w:t xml:space="preserve">Que mediante Acuerdo </w:t>
      </w:r>
      <w:r w:rsidRPr="00F627DD">
        <w:rPr>
          <w:rFonts w:ascii="Arial" w:hAnsi="Arial" w:cs="Arial"/>
        </w:rPr>
        <w:t>IEE/CG/A</w:t>
      </w:r>
      <w:r w:rsidRPr="00181EC9">
        <w:rPr>
          <w:rFonts w:ascii="Arial" w:hAnsi="Arial" w:cs="Arial"/>
        </w:rPr>
        <w:t>01</w:t>
      </w:r>
      <w:r w:rsidRPr="00F627DD">
        <w:rPr>
          <w:rFonts w:ascii="Arial" w:hAnsi="Arial" w:cs="Arial"/>
        </w:rPr>
        <w:t xml:space="preserve">5/2020, de fecha </w:t>
      </w:r>
      <w:r w:rsidRPr="00F627DD">
        <w:rPr>
          <w:rFonts w:ascii="Arial" w:eastAsia="Calibri" w:hAnsi="Arial" w:cs="Arial"/>
        </w:rPr>
        <w:t>20 de noviembre de 2020, e</w:t>
      </w:r>
      <w:r>
        <w:rPr>
          <w:rFonts w:ascii="Arial" w:eastAsia="Calibri" w:hAnsi="Arial" w:cs="Arial"/>
        </w:rPr>
        <w:t xml:space="preserve">l </w:t>
      </w:r>
      <w:r w:rsidRPr="00F627DD">
        <w:rPr>
          <w:rFonts w:ascii="Arial" w:eastAsia="Calibri" w:hAnsi="Arial" w:cs="Arial"/>
        </w:rPr>
        <w:t>órgano superior de dirección aprobó los “</w:t>
      </w:r>
      <w:r w:rsidRPr="00F627DD">
        <w:rPr>
          <w:rFonts w:ascii="Arial" w:eastAsia="Calibri" w:hAnsi="Arial" w:cs="Arial"/>
          <w:i/>
        </w:rPr>
        <w:t>Lineamientos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 en virtud de lo mandatado en la Resolución ST-JRC-30/2020 y su acumulado ST-JDC-193/2020, emitida por la Sala Regional Toluca del Tribunal Electoral del Poder Judicial de la Federación</w:t>
      </w:r>
      <w:r w:rsidRPr="00F627DD">
        <w:rPr>
          <w:rFonts w:ascii="Arial" w:eastAsia="Calibri" w:hAnsi="Arial" w:cs="Arial"/>
        </w:rPr>
        <w:t>”</w:t>
      </w:r>
      <w:r>
        <w:rPr>
          <w:rFonts w:ascii="Arial" w:hAnsi="Arial" w:cs="Arial"/>
          <w:bCs/>
          <w:lang w:val="es-CO"/>
        </w:rPr>
        <w:t>; en lo sucesivo “Lineamientos de Paridad”.</w:t>
      </w:r>
    </w:p>
    <w:p w14:paraId="5A6F4EE9" w14:textId="77777777" w:rsidR="00B4250A" w:rsidRPr="00D17A4B" w:rsidRDefault="00B4250A" w:rsidP="004B1D35">
      <w:pPr>
        <w:pStyle w:val="Prrafodelista"/>
        <w:spacing w:after="0" w:line="360" w:lineRule="auto"/>
        <w:rPr>
          <w:rFonts w:ascii="Arial" w:hAnsi="Arial" w:cs="Arial"/>
          <w:bCs/>
          <w:lang w:val="es-CO"/>
        </w:rPr>
      </w:pPr>
    </w:p>
    <w:p w14:paraId="7B333741" w14:textId="77777777" w:rsidR="00B4250A" w:rsidRPr="00F721DE" w:rsidRDefault="00B4250A" w:rsidP="004B1D35">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181EC9">
        <w:rPr>
          <w:rFonts w:ascii="Arial" w:eastAsia="Calibri" w:hAnsi="Arial" w:cs="Arial"/>
        </w:rPr>
        <w:t xml:space="preserve">La resolución citada en el antecedente </w:t>
      </w:r>
      <w:r>
        <w:rPr>
          <w:rFonts w:ascii="Arial" w:eastAsia="Calibri" w:hAnsi="Arial" w:cs="Arial"/>
        </w:rPr>
        <w:t>tercero</w:t>
      </w:r>
      <w:r w:rsidRPr="00181EC9">
        <w:rPr>
          <w:rFonts w:ascii="Arial" w:eastAsia="Calibri" w:hAnsi="Arial" w:cs="Arial"/>
        </w:rPr>
        <w:t xml:space="preserve">, fue impugnada ante la Sala Superior del Tribunal Electoral del Poder Judicial de la Federación, bajo el expediente número, SUP-REC-270/2020, mismo que fue resuelto con fecha 22 de diciembre de 2020, en el sentido de desecharlo por improcedente, por lo que la resolución citada en el antecedente IV puede considerarse firme.  </w:t>
      </w:r>
    </w:p>
    <w:p w14:paraId="76DBA70E" w14:textId="77777777" w:rsidR="00B4250A" w:rsidRPr="00F721DE" w:rsidRDefault="00B4250A" w:rsidP="004B1D35">
      <w:pPr>
        <w:pStyle w:val="Prrafodelista"/>
        <w:spacing w:after="0" w:line="360" w:lineRule="auto"/>
        <w:rPr>
          <w:rFonts w:ascii="Arial" w:hAnsi="Arial" w:cs="Arial"/>
          <w:bCs/>
          <w:lang w:val="es-CO"/>
        </w:rPr>
      </w:pPr>
    </w:p>
    <w:p w14:paraId="63A4BA65" w14:textId="77777777" w:rsidR="00B4250A" w:rsidRPr="002C1920" w:rsidRDefault="00B4250A" w:rsidP="004B1D35">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2C1920">
        <w:rPr>
          <w:rFonts w:ascii="Arial" w:hAnsi="Arial" w:cs="Arial"/>
          <w:bCs/>
          <w:lang w:val="es-CO"/>
        </w:rPr>
        <w:t xml:space="preserve">Mediante escrito de fecha 20 de diciembre de 2020 y recibido el mismo día en oficialía de partes de este Instituto, se presentó la solicitud de registro de convenio de Candidatura Común signado por el C. Mario Martín Delgado Carrillo y la C. Minerva Citlalli Hernández Mora, Presidente y Secretaria General respectivamente, del partido político nacional MORENA y el C. Francisco Javier Pinto Torres, Presidente de Nueva Alianza Colima, partido político local, por el cual se solicitó postular candidaturas en las elecciones de Diputaciones por los distritos 1, 2, 3, 4, 5 y 6 y en la elección a miembros de Ayuntamientos por Colima, Comala, Coquimatlán y Cuauhtémoc. </w:t>
      </w:r>
    </w:p>
    <w:p w14:paraId="418FADB3" w14:textId="77777777" w:rsidR="00B4250A" w:rsidRPr="00F721DE" w:rsidRDefault="00B4250A" w:rsidP="004B1D35">
      <w:pPr>
        <w:pStyle w:val="Prrafodelista"/>
        <w:spacing w:after="0" w:line="360" w:lineRule="auto"/>
        <w:rPr>
          <w:rFonts w:ascii="Arial" w:hAnsi="Arial" w:cs="Arial"/>
          <w:bCs/>
          <w:lang w:val="es-CO"/>
        </w:rPr>
      </w:pPr>
    </w:p>
    <w:p w14:paraId="40079347" w14:textId="77777777" w:rsidR="00B4250A" w:rsidRDefault="00B4250A" w:rsidP="004B1D35">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Pr>
          <w:rFonts w:ascii="Arial" w:hAnsi="Arial" w:cs="Arial"/>
          <w:bCs/>
          <w:lang w:val="es-CO"/>
        </w:rPr>
        <w:t xml:space="preserve">En el desarrollo de la Séptima Sesión Extraordinaria del Proceso Electoral Local 2020-2021 del Consejo General, celebrada el día 24 de diciembre de 2020, se aprobó por </w:t>
      </w:r>
      <w:r w:rsidR="00043732">
        <w:rPr>
          <w:rFonts w:ascii="Arial" w:hAnsi="Arial" w:cs="Arial"/>
          <w:bCs/>
          <w:lang w:val="es-CO"/>
        </w:rPr>
        <w:t>mayoría la</w:t>
      </w:r>
      <w:r>
        <w:rPr>
          <w:rFonts w:ascii="Arial" w:hAnsi="Arial" w:cs="Arial"/>
          <w:bCs/>
          <w:lang w:val="es-CO"/>
        </w:rPr>
        <w:t xml:space="preserve"> Resolución identificada con la clave y número IEE/CG/R010/2020, en la cual se determinó declarar improcedente el registro del Convenio de Candidatura Común, señalado en el </w:t>
      </w:r>
      <w:r>
        <w:rPr>
          <w:rFonts w:ascii="Arial" w:hAnsi="Arial" w:cs="Arial"/>
          <w:bCs/>
          <w:lang w:val="es-CO"/>
        </w:rPr>
        <w:lastRenderedPageBreak/>
        <w:t xml:space="preserve">antecedente anterior, al considerar que el mismo transgrede disposiciones de la Ley General de Partidos Políticos. </w:t>
      </w:r>
    </w:p>
    <w:p w14:paraId="7DA9F02B" w14:textId="77777777" w:rsidR="00B4250A" w:rsidRPr="002C1920" w:rsidRDefault="00B4250A" w:rsidP="004B1D35">
      <w:pPr>
        <w:pStyle w:val="Prrafodelista"/>
        <w:spacing w:after="0" w:line="360" w:lineRule="auto"/>
        <w:rPr>
          <w:rFonts w:ascii="Arial" w:hAnsi="Arial" w:cs="Arial"/>
          <w:bCs/>
          <w:lang w:val="es-CO"/>
        </w:rPr>
      </w:pPr>
    </w:p>
    <w:p w14:paraId="7B6F989B" w14:textId="77777777" w:rsidR="00B4250A" w:rsidRDefault="00B4250A" w:rsidP="004B1D35">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Pr>
          <w:rFonts w:ascii="Arial" w:hAnsi="Arial" w:cs="Arial"/>
          <w:bCs/>
          <w:lang w:val="es-CO"/>
        </w:rPr>
        <w:t xml:space="preserve"> La resolución señalada en el antecedente anterior, fue impugnada ante el Tribunal Electoral del Estado de Colima, por los partidos políticos MORENA y Nueva Alianza Colima, recayendo el número de expediente RA-01/2021 y su acumulado RA-02/2021, a los que recayó sentencia con fecha 20 de enero de 2021, a través de la cual se revoca la resolución IEE/CG/R010/2020 que determinó la improcedencia del registro del convenio de candidatura común solicitado por los partidos políticos MORENA y Nueva Alianza Colima para postular candidaturas en las elecciones de diputaciones e integración de ayuntamientos de la entidad, en el proceso electoral 2020-2021 y se ordena al Instituto Electoral del Estado de Colima registrar el convenio de candidatura común en los términos propuestos por el partido MORENA y Nueva Alianza Colima.</w:t>
      </w:r>
    </w:p>
    <w:p w14:paraId="033E5D3C" w14:textId="77777777" w:rsidR="00B4250A" w:rsidRPr="00145164" w:rsidRDefault="00B4250A" w:rsidP="004B1D35">
      <w:pPr>
        <w:pStyle w:val="Prrafodelista"/>
        <w:spacing w:after="0" w:line="360" w:lineRule="auto"/>
        <w:rPr>
          <w:rFonts w:ascii="Arial" w:hAnsi="Arial" w:cs="Arial"/>
          <w:bCs/>
          <w:lang w:val="es-CO"/>
        </w:rPr>
      </w:pPr>
    </w:p>
    <w:p w14:paraId="0A8B8212" w14:textId="77777777" w:rsidR="00B4250A" w:rsidRPr="00181EC9" w:rsidRDefault="00B4250A" w:rsidP="004B1D35">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Pr>
          <w:rFonts w:ascii="Arial" w:hAnsi="Arial" w:cs="Arial"/>
        </w:rPr>
        <w:t>El Consejo General del Instituto Electoral, dio cumplimiento a la sentencia señalada en el antecedente anterior, m</w:t>
      </w:r>
      <w:r w:rsidRPr="00A653DE">
        <w:rPr>
          <w:rFonts w:ascii="Arial" w:hAnsi="Arial" w:cs="Arial"/>
        </w:rPr>
        <w:t xml:space="preserve">ediante </w:t>
      </w:r>
      <w:r>
        <w:rPr>
          <w:rFonts w:ascii="Arial" w:hAnsi="Arial" w:cs="Arial"/>
        </w:rPr>
        <w:t>la resolución IEE/CG/R013/2021 denominada “</w:t>
      </w:r>
      <w:r w:rsidRPr="000C48A8">
        <w:rPr>
          <w:rFonts w:ascii="Arial" w:hAnsi="Arial" w:cs="Arial"/>
          <w:i/>
        </w:rPr>
        <w:t>RESOLUCIÓN DEL CONSEJO GENERAL DEL INSTITUTO ELECTORAL DEL ESTADO DE COLIMA, RESPECTO DE LA SOLICITUD DE REGISTRO D CONVENIO DE CANDIDATURA COMÚN PARA LA POSTULACIÓN DE CANDIDATURAS EN LAS ELECCIONES DE DIPUTACIONES E INTEGRACIÓN DE AYUNTAMIENTOS DE LA ENTIDAD, PRESENTADA POR LOS PARTIDOS POLÍTICOS MORENA Y NUEVA ALIANZA COLIMA, PARA CONTENDER EN EL PROCESO ELECTORAL LOCAL 202-2021, EN CUMPLIMIENTO A LO ORDENADO EN LA RESOLUCIÓN RA-01/2021 Y SU ACUMULADO RA-02/2021, EMITIDIA POR EL TRIBUNAL ELECTORAL DEL ESTADO DE COLIMA</w:t>
      </w:r>
      <w:r>
        <w:rPr>
          <w:rFonts w:ascii="Arial" w:hAnsi="Arial" w:cs="Arial"/>
        </w:rPr>
        <w:t xml:space="preserve">” </w:t>
      </w:r>
    </w:p>
    <w:p w14:paraId="250993A8" w14:textId="77777777" w:rsidR="00B4250A" w:rsidRPr="00F627DD" w:rsidRDefault="00B4250A" w:rsidP="004B1D35">
      <w:pPr>
        <w:pStyle w:val="Prrafodelista"/>
        <w:spacing w:after="0" w:line="360" w:lineRule="auto"/>
        <w:rPr>
          <w:rFonts w:ascii="Arial" w:eastAsia="Calibri" w:hAnsi="Arial" w:cs="Arial"/>
        </w:rPr>
      </w:pPr>
    </w:p>
    <w:p w14:paraId="7B725774" w14:textId="77777777" w:rsidR="00B4250A" w:rsidRPr="009E16C9" w:rsidRDefault="00B4250A" w:rsidP="004B1D35">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F627DD">
        <w:rPr>
          <w:rFonts w:ascii="Arial" w:eastAsia="Calibri" w:hAnsi="Arial" w:cs="Arial"/>
        </w:rPr>
        <w:t xml:space="preserve">Con fecha </w:t>
      </w:r>
      <w:r>
        <w:rPr>
          <w:rFonts w:ascii="Arial" w:eastAsia="Calibri" w:hAnsi="Arial" w:cs="Arial"/>
        </w:rPr>
        <w:t>02 de febrero de 2021</w:t>
      </w:r>
      <w:r w:rsidRPr="00F627DD">
        <w:rPr>
          <w:rFonts w:ascii="Arial" w:eastAsia="Calibri" w:hAnsi="Arial" w:cs="Arial"/>
        </w:rPr>
        <w:t xml:space="preserve">, el </w:t>
      </w:r>
      <w:r>
        <w:rPr>
          <w:rFonts w:ascii="Arial" w:eastAsia="Calibri" w:hAnsi="Arial" w:cs="Arial"/>
        </w:rPr>
        <w:t>C. Arnoldo Vizcaíno Rodríguez, e</w:t>
      </w:r>
      <w:r w:rsidRPr="00F627DD">
        <w:rPr>
          <w:rFonts w:ascii="Arial" w:eastAsia="Calibri" w:hAnsi="Arial" w:cs="Arial"/>
        </w:rPr>
        <w:t xml:space="preserve">n su carácter de Comisionado </w:t>
      </w:r>
      <w:r>
        <w:rPr>
          <w:rFonts w:ascii="Arial" w:eastAsia="Calibri" w:hAnsi="Arial" w:cs="Arial"/>
        </w:rPr>
        <w:t xml:space="preserve">Propietario </w:t>
      </w:r>
      <w:r w:rsidR="00043732">
        <w:rPr>
          <w:rFonts w:ascii="Arial" w:eastAsia="Calibri" w:hAnsi="Arial" w:cs="Arial"/>
        </w:rPr>
        <w:t>del Partido MORENA</w:t>
      </w:r>
      <w:r>
        <w:rPr>
          <w:rFonts w:ascii="Arial" w:eastAsia="Calibri" w:hAnsi="Arial" w:cs="Arial"/>
        </w:rPr>
        <w:t xml:space="preserve"> ante el Consejo General del </w:t>
      </w:r>
      <w:r w:rsidRPr="00F627DD">
        <w:rPr>
          <w:rFonts w:ascii="Arial" w:eastAsia="Calibri" w:hAnsi="Arial" w:cs="Arial"/>
        </w:rPr>
        <w:t xml:space="preserve">organismo electoral, presentó ante la Oficialía de Partes, un </w:t>
      </w:r>
      <w:r>
        <w:rPr>
          <w:rFonts w:ascii="Arial" w:eastAsia="Calibri" w:hAnsi="Arial" w:cs="Arial"/>
        </w:rPr>
        <w:t xml:space="preserve">escrito </w:t>
      </w:r>
      <w:r w:rsidRPr="00F627DD">
        <w:rPr>
          <w:rFonts w:ascii="Arial" w:eastAsia="Calibri" w:hAnsi="Arial" w:cs="Arial"/>
        </w:rPr>
        <w:t>mediante el cual expone lo siguiente:</w:t>
      </w:r>
    </w:p>
    <w:p w14:paraId="6C920060" w14:textId="77777777" w:rsidR="00B4250A" w:rsidRDefault="00B4250A" w:rsidP="00B4250A">
      <w:pPr>
        <w:tabs>
          <w:tab w:val="left" w:pos="8789"/>
        </w:tabs>
        <w:autoSpaceDE w:val="0"/>
        <w:autoSpaceDN w:val="0"/>
        <w:adjustRightInd w:val="0"/>
        <w:ind w:left="567" w:right="567"/>
        <w:jc w:val="both"/>
        <w:rPr>
          <w:rFonts w:ascii="Arial" w:hAnsi="Arial" w:cs="Arial"/>
          <w:i/>
          <w:sz w:val="22"/>
          <w:szCs w:val="22"/>
        </w:rPr>
      </w:pPr>
    </w:p>
    <w:p w14:paraId="38255571" w14:textId="77777777" w:rsidR="00B4250A" w:rsidRDefault="00B4250A" w:rsidP="00B4250A">
      <w:pPr>
        <w:tabs>
          <w:tab w:val="left" w:pos="8789"/>
        </w:tabs>
        <w:autoSpaceDE w:val="0"/>
        <w:autoSpaceDN w:val="0"/>
        <w:adjustRightInd w:val="0"/>
        <w:ind w:left="567" w:right="567"/>
        <w:jc w:val="both"/>
        <w:rPr>
          <w:rFonts w:ascii="Arial" w:hAnsi="Arial" w:cs="Arial"/>
          <w:i/>
          <w:sz w:val="22"/>
          <w:szCs w:val="22"/>
        </w:rPr>
      </w:pPr>
      <w:r>
        <w:rPr>
          <w:rFonts w:ascii="Arial" w:hAnsi="Arial" w:cs="Arial"/>
          <w:i/>
          <w:sz w:val="22"/>
          <w:szCs w:val="22"/>
        </w:rPr>
        <w:t>…</w:t>
      </w:r>
    </w:p>
    <w:p w14:paraId="0B4B9F8E" w14:textId="77777777" w:rsidR="00B4250A" w:rsidRDefault="00B4250A" w:rsidP="00B4250A">
      <w:pPr>
        <w:tabs>
          <w:tab w:val="left" w:pos="8789"/>
        </w:tabs>
        <w:autoSpaceDE w:val="0"/>
        <w:autoSpaceDN w:val="0"/>
        <w:adjustRightInd w:val="0"/>
        <w:ind w:left="567" w:right="567"/>
        <w:jc w:val="both"/>
        <w:rPr>
          <w:rFonts w:ascii="Arial" w:hAnsi="Arial" w:cs="Arial"/>
          <w:i/>
          <w:sz w:val="22"/>
          <w:szCs w:val="22"/>
        </w:rPr>
      </w:pPr>
    </w:p>
    <w:p w14:paraId="1B2A7126" w14:textId="45EE771C" w:rsidR="00B4250A" w:rsidRDefault="00B4250A" w:rsidP="004B1D35">
      <w:pPr>
        <w:tabs>
          <w:tab w:val="left" w:pos="8789"/>
        </w:tabs>
        <w:autoSpaceDE w:val="0"/>
        <w:autoSpaceDN w:val="0"/>
        <w:adjustRightInd w:val="0"/>
        <w:ind w:left="567" w:right="567"/>
        <w:jc w:val="both"/>
        <w:rPr>
          <w:rFonts w:ascii="Arial" w:hAnsi="Arial" w:cs="Arial"/>
          <w:i/>
          <w:sz w:val="22"/>
          <w:szCs w:val="22"/>
        </w:rPr>
      </w:pPr>
      <w:r w:rsidRPr="00B8700A">
        <w:rPr>
          <w:rFonts w:ascii="Arial" w:hAnsi="Arial" w:cs="Arial"/>
          <w:i/>
          <w:sz w:val="22"/>
          <w:szCs w:val="22"/>
        </w:rPr>
        <w:t>“</w:t>
      </w:r>
      <w:proofErr w:type="gramStart"/>
      <w:r>
        <w:rPr>
          <w:rFonts w:ascii="Arial" w:hAnsi="Arial" w:cs="Arial"/>
          <w:i/>
          <w:sz w:val="22"/>
          <w:szCs w:val="22"/>
        </w:rPr>
        <w:t>PRIMERO.-</w:t>
      </w:r>
      <w:proofErr w:type="gramEnd"/>
      <w:r>
        <w:rPr>
          <w:rFonts w:ascii="Arial" w:hAnsi="Arial" w:cs="Arial"/>
          <w:i/>
          <w:sz w:val="22"/>
          <w:szCs w:val="22"/>
        </w:rPr>
        <w:t xml:space="preserve"> Como es saberse, este Instituto Político se encuentra bajo la participación de una Candidatura Común, y en ese escenario existen Municipios restantes en los que se participara como Partido en lo individual, de manera que </w:t>
      </w:r>
      <w:r>
        <w:rPr>
          <w:rFonts w:ascii="Arial" w:hAnsi="Arial" w:cs="Arial"/>
          <w:i/>
          <w:sz w:val="22"/>
          <w:szCs w:val="22"/>
        </w:rPr>
        <w:lastRenderedPageBreak/>
        <w:t xml:space="preserve">estos se enlistan y se conforman los bloques según la votación obtenida del Parido Político de Movimiento de Regeneración Nacional, es que se propone la siguiente integración: </w:t>
      </w:r>
    </w:p>
    <w:tbl>
      <w:tblPr>
        <w:tblStyle w:val="Tablaconcuadrcula"/>
        <w:tblpPr w:leftFromText="141" w:rightFromText="141" w:vertAnchor="text" w:horzAnchor="margin" w:tblpXSpec="center" w:tblpY="417"/>
        <w:tblW w:w="10351" w:type="dxa"/>
        <w:tblLook w:val="04A0" w:firstRow="1" w:lastRow="0" w:firstColumn="1" w:lastColumn="0" w:noHBand="0" w:noVBand="1"/>
      </w:tblPr>
      <w:tblGrid>
        <w:gridCol w:w="2225"/>
        <w:gridCol w:w="1724"/>
        <w:gridCol w:w="1575"/>
        <w:gridCol w:w="1725"/>
        <w:gridCol w:w="1538"/>
        <w:gridCol w:w="1564"/>
      </w:tblGrid>
      <w:tr w:rsidR="00B4250A" w:rsidRPr="002C4211" w14:paraId="274A05E3" w14:textId="77777777" w:rsidTr="00300DB0">
        <w:tc>
          <w:tcPr>
            <w:tcW w:w="0" w:type="auto"/>
            <w:gridSpan w:val="6"/>
          </w:tcPr>
          <w:p w14:paraId="464384CA" w14:textId="77777777" w:rsidR="00B4250A" w:rsidRPr="002C4211" w:rsidRDefault="00B4250A" w:rsidP="00300DB0">
            <w:pPr>
              <w:tabs>
                <w:tab w:val="left" w:pos="8789"/>
              </w:tabs>
              <w:autoSpaceDE w:val="0"/>
              <w:autoSpaceDN w:val="0"/>
              <w:adjustRightInd w:val="0"/>
              <w:ind w:right="567"/>
              <w:jc w:val="center"/>
              <w:rPr>
                <w:rFonts w:ascii="Arial" w:hAnsi="Arial" w:cs="Arial"/>
                <w:b/>
                <w:i/>
                <w:sz w:val="18"/>
                <w:szCs w:val="18"/>
              </w:rPr>
            </w:pPr>
            <w:r w:rsidRPr="002C4211">
              <w:rPr>
                <w:rFonts w:ascii="Arial" w:hAnsi="Arial" w:cs="Arial"/>
                <w:b/>
                <w:i/>
                <w:sz w:val="18"/>
                <w:szCs w:val="18"/>
              </w:rPr>
              <w:t>H. AYUNTAMIENTOS</w:t>
            </w:r>
          </w:p>
        </w:tc>
      </w:tr>
      <w:tr w:rsidR="00B4250A" w:rsidRPr="002C4211" w14:paraId="7B8C1BC4" w14:textId="77777777" w:rsidTr="00300DB0">
        <w:tc>
          <w:tcPr>
            <w:tcW w:w="2214" w:type="dxa"/>
            <w:vAlign w:val="center"/>
          </w:tcPr>
          <w:p w14:paraId="5DD09A66" w14:textId="77777777" w:rsidR="00B4250A" w:rsidRPr="002C4211" w:rsidRDefault="00B4250A" w:rsidP="00300DB0">
            <w:pPr>
              <w:tabs>
                <w:tab w:val="left" w:pos="8789"/>
              </w:tabs>
              <w:autoSpaceDE w:val="0"/>
              <w:autoSpaceDN w:val="0"/>
              <w:adjustRightInd w:val="0"/>
              <w:ind w:right="567"/>
              <w:rPr>
                <w:rFonts w:ascii="Arial" w:hAnsi="Arial" w:cs="Arial"/>
                <w:i/>
                <w:sz w:val="18"/>
                <w:szCs w:val="18"/>
              </w:rPr>
            </w:pPr>
            <w:r w:rsidRPr="002C4211">
              <w:rPr>
                <w:rFonts w:ascii="Arial" w:hAnsi="Arial" w:cs="Arial"/>
                <w:i/>
                <w:sz w:val="18"/>
                <w:szCs w:val="18"/>
              </w:rPr>
              <w:t>MUNIC</w:t>
            </w:r>
            <w:r>
              <w:rPr>
                <w:rFonts w:ascii="Arial" w:hAnsi="Arial" w:cs="Arial"/>
                <w:i/>
                <w:sz w:val="18"/>
                <w:szCs w:val="18"/>
              </w:rPr>
              <w:t>IPIO</w:t>
            </w:r>
          </w:p>
        </w:tc>
        <w:tc>
          <w:tcPr>
            <w:tcW w:w="0" w:type="auto"/>
            <w:vAlign w:val="center"/>
          </w:tcPr>
          <w:p w14:paraId="26C01917" w14:textId="77777777" w:rsidR="00B4250A" w:rsidRPr="002C4211" w:rsidRDefault="00B4250A" w:rsidP="00300DB0">
            <w:pPr>
              <w:tabs>
                <w:tab w:val="left" w:pos="8789"/>
              </w:tabs>
              <w:autoSpaceDE w:val="0"/>
              <w:autoSpaceDN w:val="0"/>
              <w:adjustRightInd w:val="0"/>
              <w:ind w:right="567"/>
              <w:rPr>
                <w:rFonts w:ascii="Arial" w:hAnsi="Arial" w:cs="Arial"/>
                <w:i/>
                <w:sz w:val="18"/>
                <w:szCs w:val="18"/>
              </w:rPr>
            </w:pPr>
            <w:r w:rsidRPr="002C4211">
              <w:rPr>
                <w:rFonts w:ascii="Arial" w:hAnsi="Arial" w:cs="Arial"/>
                <w:i/>
                <w:sz w:val="18"/>
                <w:szCs w:val="18"/>
              </w:rPr>
              <w:t>VOTACIÓN MORENA</w:t>
            </w:r>
          </w:p>
        </w:tc>
        <w:tc>
          <w:tcPr>
            <w:tcW w:w="0" w:type="auto"/>
            <w:vAlign w:val="center"/>
          </w:tcPr>
          <w:p w14:paraId="328F5F9F" w14:textId="77777777" w:rsidR="00B4250A" w:rsidRPr="002C4211" w:rsidRDefault="00B4250A" w:rsidP="00300DB0">
            <w:pPr>
              <w:tabs>
                <w:tab w:val="left" w:pos="8789"/>
              </w:tabs>
              <w:autoSpaceDE w:val="0"/>
              <w:autoSpaceDN w:val="0"/>
              <w:adjustRightInd w:val="0"/>
              <w:ind w:right="567"/>
              <w:rPr>
                <w:rFonts w:ascii="Arial" w:hAnsi="Arial" w:cs="Arial"/>
                <w:i/>
                <w:sz w:val="18"/>
                <w:szCs w:val="18"/>
              </w:rPr>
            </w:pPr>
            <w:r w:rsidRPr="002C4211">
              <w:rPr>
                <w:rFonts w:ascii="Arial" w:hAnsi="Arial" w:cs="Arial"/>
                <w:i/>
                <w:sz w:val="18"/>
                <w:szCs w:val="18"/>
              </w:rPr>
              <w:t>% MORENA</w:t>
            </w:r>
          </w:p>
        </w:tc>
        <w:tc>
          <w:tcPr>
            <w:tcW w:w="0" w:type="auto"/>
            <w:vAlign w:val="center"/>
          </w:tcPr>
          <w:p w14:paraId="41542F8D" w14:textId="77777777" w:rsidR="00B4250A" w:rsidRPr="002C4211" w:rsidRDefault="00B4250A" w:rsidP="00300DB0">
            <w:pPr>
              <w:tabs>
                <w:tab w:val="left" w:pos="8789"/>
              </w:tabs>
              <w:autoSpaceDE w:val="0"/>
              <w:autoSpaceDN w:val="0"/>
              <w:adjustRightInd w:val="0"/>
              <w:ind w:right="567"/>
              <w:rPr>
                <w:rFonts w:ascii="Arial" w:hAnsi="Arial" w:cs="Arial"/>
                <w:i/>
                <w:sz w:val="18"/>
                <w:szCs w:val="18"/>
              </w:rPr>
            </w:pPr>
            <w:r w:rsidRPr="002C4211">
              <w:rPr>
                <w:rFonts w:ascii="Arial" w:hAnsi="Arial" w:cs="Arial"/>
                <w:i/>
                <w:sz w:val="18"/>
                <w:szCs w:val="18"/>
              </w:rPr>
              <w:t>UNIVERSO TOTAL DE VOTACIÓN</w:t>
            </w:r>
          </w:p>
        </w:tc>
        <w:tc>
          <w:tcPr>
            <w:tcW w:w="0" w:type="auto"/>
            <w:vAlign w:val="center"/>
          </w:tcPr>
          <w:p w14:paraId="55B1176D" w14:textId="77777777" w:rsidR="00B4250A" w:rsidRPr="002C4211" w:rsidRDefault="00B4250A" w:rsidP="00300DB0">
            <w:pPr>
              <w:tabs>
                <w:tab w:val="left" w:pos="8789"/>
              </w:tabs>
              <w:autoSpaceDE w:val="0"/>
              <w:autoSpaceDN w:val="0"/>
              <w:adjustRightInd w:val="0"/>
              <w:ind w:right="567"/>
              <w:rPr>
                <w:rFonts w:ascii="Arial" w:hAnsi="Arial" w:cs="Arial"/>
                <w:i/>
                <w:sz w:val="18"/>
                <w:szCs w:val="18"/>
              </w:rPr>
            </w:pPr>
            <w:r w:rsidRPr="002C4211">
              <w:rPr>
                <w:rFonts w:ascii="Arial" w:hAnsi="Arial" w:cs="Arial"/>
                <w:i/>
                <w:sz w:val="18"/>
                <w:szCs w:val="18"/>
              </w:rPr>
              <w:t>TIPO DE BLOQUE</w:t>
            </w:r>
          </w:p>
        </w:tc>
        <w:tc>
          <w:tcPr>
            <w:tcW w:w="0" w:type="auto"/>
            <w:vAlign w:val="center"/>
          </w:tcPr>
          <w:p w14:paraId="05DC9D53" w14:textId="77777777" w:rsidR="00B4250A" w:rsidRPr="002C4211" w:rsidRDefault="00B4250A" w:rsidP="00300DB0">
            <w:pPr>
              <w:tabs>
                <w:tab w:val="left" w:pos="8789"/>
              </w:tabs>
              <w:autoSpaceDE w:val="0"/>
              <w:autoSpaceDN w:val="0"/>
              <w:adjustRightInd w:val="0"/>
              <w:ind w:right="567"/>
              <w:rPr>
                <w:rFonts w:ascii="Arial" w:hAnsi="Arial" w:cs="Arial"/>
                <w:i/>
                <w:sz w:val="18"/>
                <w:szCs w:val="18"/>
              </w:rPr>
            </w:pPr>
            <w:r w:rsidRPr="002C4211">
              <w:rPr>
                <w:rFonts w:ascii="Arial" w:hAnsi="Arial" w:cs="Arial"/>
                <w:i/>
                <w:sz w:val="18"/>
                <w:szCs w:val="18"/>
              </w:rPr>
              <w:t>GÉNERO</w:t>
            </w:r>
          </w:p>
        </w:tc>
      </w:tr>
      <w:tr w:rsidR="00B4250A" w:rsidRPr="002C4211" w14:paraId="275A8C90" w14:textId="77777777" w:rsidTr="00300DB0">
        <w:tc>
          <w:tcPr>
            <w:tcW w:w="0" w:type="auto"/>
          </w:tcPr>
          <w:p w14:paraId="49122B42" w14:textId="77777777" w:rsidR="00B4250A" w:rsidRPr="00695925" w:rsidRDefault="00B4250A" w:rsidP="00300DB0">
            <w:pPr>
              <w:tabs>
                <w:tab w:val="left" w:pos="8789"/>
              </w:tabs>
              <w:autoSpaceDE w:val="0"/>
              <w:autoSpaceDN w:val="0"/>
              <w:adjustRightInd w:val="0"/>
              <w:ind w:right="567"/>
              <w:jc w:val="both"/>
              <w:rPr>
                <w:rFonts w:ascii="Arial" w:hAnsi="Arial" w:cs="Arial"/>
                <w:b/>
                <w:i/>
                <w:sz w:val="18"/>
                <w:szCs w:val="18"/>
              </w:rPr>
            </w:pPr>
            <w:r w:rsidRPr="00695925">
              <w:rPr>
                <w:rFonts w:ascii="Arial" w:hAnsi="Arial" w:cs="Arial"/>
                <w:b/>
                <w:i/>
                <w:sz w:val="18"/>
                <w:szCs w:val="18"/>
              </w:rPr>
              <w:t>ARMERÍA</w:t>
            </w:r>
          </w:p>
        </w:tc>
        <w:tc>
          <w:tcPr>
            <w:tcW w:w="1725" w:type="dxa"/>
          </w:tcPr>
          <w:p w14:paraId="591262F5"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4,606</w:t>
            </w:r>
          </w:p>
        </w:tc>
        <w:tc>
          <w:tcPr>
            <w:tcW w:w="1577" w:type="dxa"/>
          </w:tcPr>
          <w:p w14:paraId="316B44FE"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35.9872</w:t>
            </w:r>
          </w:p>
        </w:tc>
        <w:tc>
          <w:tcPr>
            <w:tcW w:w="1726" w:type="dxa"/>
          </w:tcPr>
          <w:p w14:paraId="7B42A501"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12,799</w:t>
            </w:r>
          </w:p>
        </w:tc>
        <w:tc>
          <w:tcPr>
            <w:tcW w:w="1545" w:type="dxa"/>
            <w:vMerge w:val="restart"/>
            <w:vAlign w:val="center"/>
          </w:tcPr>
          <w:p w14:paraId="46C1044F" w14:textId="77777777" w:rsidR="00B4250A" w:rsidRPr="002C4211" w:rsidRDefault="00B4250A" w:rsidP="00300DB0">
            <w:pPr>
              <w:tabs>
                <w:tab w:val="left" w:pos="8789"/>
              </w:tabs>
              <w:autoSpaceDE w:val="0"/>
              <w:autoSpaceDN w:val="0"/>
              <w:adjustRightInd w:val="0"/>
              <w:ind w:right="567"/>
              <w:jc w:val="center"/>
              <w:rPr>
                <w:rFonts w:ascii="Arial" w:hAnsi="Arial" w:cs="Arial"/>
                <w:i/>
                <w:sz w:val="18"/>
                <w:szCs w:val="18"/>
              </w:rPr>
            </w:pPr>
            <w:r>
              <w:rPr>
                <w:rFonts w:ascii="Arial" w:hAnsi="Arial" w:cs="Arial"/>
                <w:i/>
                <w:sz w:val="18"/>
                <w:szCs w:val="18"/>
              </w:rPr>
              <w:t>ALTA</w:t>
            </w:r>
          </w:p>
        </w:tc>
        <w:tc>
          <w:tcPr>
            <w:tcW w:w="0" w:type="auto"/>
          </w:tcPr>
          <w:p w14:paraId="75CF28BB"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M</w:t>
            </w:r>
          </w:p>
        </w:tc>
      </w:tr>
      <w:tr w:rsidR="00B4250A" w:rsidRPr="002C4211" w14:paraId="009AF434" w14:textId="77777777" w:rsidTr="00300DB0">
        <w:tc>
          <w:tcPr>
            <w:tcW w:w="0" w:type="auto"/>
          </w:tcPr>
          <w:p w14:paraId="57CF4940" w14:textId="77777777" w:rsidR="00B4250A" w:rsidRPr="00695925" w:rsidRDefault="00B4250A" w:rsidP="00300DB0">
            <w:pPr>
              <w:tabs>
                <w:tab w:val="left" w:pos="8789"/>
              </w:tabs>
              <w:autoSpaceDE w:val="0"/>
              <w:autoSpaceDN w:val="0"/>
              <w:adjustRightInd w:val="0"/>
              <w:ind w:right="567"/>
              <w:jc w:val="both"/>
              <w:rPr>
                <w:rFonts w:ascii="Arial" w:hAnsi="Arial" w:cs="Arial"/>
                <w:b/>
                <w:i/>
                <w:sz w:val="18"/>
                <w:szCs w:val="18"/>
              </w:rPr>
            </w:pPr>
            <w:r w:rsidRPr="00695925">
              <w:rPr>
                <w:rFonts w:ascii="Arial" w:hAnsi="Arial" w:cs="Arial"/>
                <w:b/>
                <w:i/>
                <w:sz w:val="18"/>
                <w:szCs w:val="18"/>
              </w:rPr>
              <w:t>TECOMÁN</w:t>
            </w:r>
          </w:p>
        </w:tc>
        <w:tc>
          <w:tcPr>
            <w:tcW w:w="0" w:type="auto"/>
          </w:tcPr>
          <w:p w14:paraId="463A0D64"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15,744</w:t>
            </w:r>
          </w:p>
        </w:tc>
        <w:tc>
          <w:tcPr>
            <w:tcW w:w="0" w:type="auto"/>
          </w:tcPr>
          <w:p w14:paraId="3C2099CF"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35.5708</w:t>
            </w:r>
          </w:p>
        </w:tc>
        <w:tc>
          <w:tcPr>
            <w:tcW w:w="1726" w:type="dxa"/>
          </w:tcPr>
          <w:p w14:paraId="49B963EE"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44,261</w:t>
            </w:r>
          </w:p>
        </w:tc>
        <w:tc>
          <w:tcPr>
            <w:tcW w:w="1545" w:type="dxa"/>
            <w:vMerge/>
            <w:vAlign w:val="center"/>
          </w:tcPr>
          <w:p w14:paraId="683B711C" w14:textId="77777777" w:rsidR="00B4250A" w:rsidRPr="002C4211" w:rsidRDefault="00B4250A" w:rsidP="00300DB0">
            <w:pPr>
              <w:tabs>
                <w:tab w:val="left" w:pos="8789"/>
              </w:tabs>
              <w:autoSpaceDE w:val="0"/>
              <w:autoSpaceDN w:val="0"/>
              <w:adjustRightInd w:val="0"/>
              <w:ind w:right="567"/>
              <w:jc w:val="center"/>
              <w:rPr>
                <w:rFonts w:ascii="Arial" w:hAnsi="Arial" w:cs="Arial"/>
                <w:i/>
                <w:sz w:val="18"/>
                <w:szCs w:val="18"/>
              </w:rPr>
            </w:pPr>
          </w:p>
        </w:tc>
        <w:tc>
          <w:tcPr>
            <w:tcW w:w="0" w:type="auto"/>
          </w:tcPr>
          <w:p w14:paraId="4B6F1C3C"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H</w:t>
            </w:r>
          </w:p>
        </w:tc>
      </w:tr>
      <w:tr w:rsidR="00B4250A" w:rsidRPr="002C4211" w14:paraId="15572BDC" w14:textId="77777777" w:rsidTr="00300DB0">
        <w:tc>
          <w:tcPr>
            <w:tcW w:w="0" w:type="auto"/>
          </w:tcPr>
          <w:p w14:paraId="53973087" w14:textId="77777777" w:rsidR="00B4250A" w:rsidRPr="00695925" w:rsidRDefault="00B4250A" w:rsidP="00300DB0">
            <w:pPr>
              <w:tabs>
                <w:tab w:val="left" w:pos="8789"/>
              </w:tabs>
              <w:autoSpaceDE w:val="0"/>
              <w:autoSpaceDN w:val="0"/>
              <w:adjustRightInd w:val="0"/>
              <w:ind w:right="567"/>
              <w:jc w:val="both"/>
              <w:rPr>
                <w:rFonts w:ascii="Arial" w:hAnsi="Arial" w:cs="Arial"/>
                <w:b/>
                <w:i/>
                <w:sz w:val="18"/>
                <w:szCs w:val="18"/>
              </w:rPr>
            </w:pPr>
            <w:r w:rsidRPr="00695925">
              <w:rPr>
                <w:rFonts w:ascii="Arial" w:hAnsi="Arial" w:cs="Arial"/>
                <w:b/>
                <w:i/>
                <w:sz w:val="18"/>
                <w:szCs w:val="18"/>
              </w:rPr>
              <w:t>MANZANILLO</w:t>
            </w:r>
          </w:p>
        </w:tc>
        <w:tc>
          <w:tcPr>
            <w:tcW w:w="0" w:type="auto"/>
          </w:tcPr>
          <w:p w14:paraId="6A2D8960"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25,589</w:t>
            </w:r>
          </w:p>
        </w:tc>
        <w:tc>
          <w:tcPr>
            <w:tcW w:w="0" w:type="auto"/>
          </w:tcPr>
          <w:p w14:paraId="6FFC277A"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31.4895</w:t>
            </w:r>
          </w:p>
        </w:tc>
        <w:tc>
          <w:tcPr>
            <w:tcW w:w="1726" w:type="dxa"/>
          </w:tcPr>
          <w:p w14:paraId="378359F9"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81,262</w:t>
            </w:r>
          </w:p>
        </w:tc>
        <w:tc>
          <w:tcPr>
            <w:tcW w:w="1545" w:type="dxa"/>
            <w:vMerge w:val="restart"/>
            <w:vAlign w:val="center"/>
          </w:tcPr>
          <w:p w14:paraId="451F799A" w14:textId="77777777" w:rsidR="00B4250A" w:rsidRPr="002C4211" w:rsidRDefault="00B4250A" w:rsidP="00300DB0">
            <w:pPr>
              <w:tabs>
                <w:tab w:val="left" w:pos="8789"/>
              </w:tabs>
              <w:autoSpaceDE w:val="0"/>
              <w:autoSpaceDN w:val="0"/>
              <w:adjustRightInd w:val="0"/>
              <w:ind w:right="567"/>
              <w:jc w:val="center"/>
              <w:rPr>
                <w:rFonts w:ascii="Arial" w:hAnsi="Arial" w:cs="Arial"/>
                <w:i/>
                <w:sz w:val="18"/>
                <w:szCs w:val="18"/>
              </w:rPr>
            </w:pPr>
            <w:r>
              <w:rPr>
                <w:rFonts w:ascii="Arial" w:hAnsi="Arial" w:cs="Arial"/>
                <w:i/>
                <w:sz w:val="18"/>
                <w:szCs w:val="18"/>
              </w:rPr>
              <w:t>MEDIA</w:t>
            </w:r>
          </w:p>
        </w:tc>
        <w:tc>
          <w:tcPr>
            <w:tcW w:w="0" w:type="auto"/>
          </w:tcPr>
          <w:p w14:paraId="6388E21C"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M</w:t>
            </w:r>
          </w:p>
        </w:tc>
      </w:tr>
      <w:tr w:rsidR="00B4250A" w:rsidRPr="002C4211" w14:paraId="60B0890F" w14:textId="77777777" w:rsidTr="00300DB0">
        <w:tc>
          <w:tcPr>
            <w:tcW w:w="0" w:type="auto"/>
          </w:tcPr>
          <w:p w14:paraId="4C3A48AD" w14:textId="77777777" w:rsidR="00B4250A" w:rsidRPr="00695925" w:rsidRDefault="00B4250A" w:rsidP="00300DB0">
            <w:pPr>
              <w:tabs>
                <w:tab w:val="left" w:pos="8789"/>
              </w:tabs>
              <w:autoSpaceDE w:val="0"/>
              <w:autoSpaceDN w:val="0"/>
              <w:adjustRightInd w:val="0"/>
              <w:ind w:right="567"/>
              <w:jc w:val="both"/>
              <w:rPr>
                <w:rFonts w:ascii="Arial" w:hAnsi="Arial" w:cs="Arial"/>
                <w:b/>
                <w:i/>
                <w:sz w:val="18"/>
                <w:szCs w:val="18"/>
              </w:rPr>
            </w:pPr>
            <w:r w:rsidRPr="00695925">
              <w:rPr>
                <w:rFonts w:ascii="Arial" w:hAnsi="Arial" w:cs="Arial"/>
                <w:b/>
                <w:i/>
                <w:sz w:val="18"/>
                <w:szCs w:val="18"/>
              </w:rPr>
              <w:t>VILLA DE ÁLVAREZ</w:t>
            </w:r>
          </w:p>
        </w:tc>
        <w:tc>
          <w:tcPr>
            <w:tcW w:w="0" w:type="auto"/>
          </w:tcPr>
          <w:p w14:paraId="7302DFB3"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15,448</w:t>
            </w:r>
          </w:p>
        </w:tc>
        <w:tc>
          <w:tcPr>
            <w:tcW w:w="0" w:type="auto"/>
          </w:tcPr>
          <w:p w14:paraId="504CC179"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24.9685</w:t>
            </w:r>
          </w:p>
        </w:tc>
        <w:tc>
          <w:tcPr>
            <w:tcW w:w="1726" w:type="dxa"/>
          </w:tcPr>
          <w:p w14:paraId="2BA72B15"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61,870</w:t>
            </w:r>
          </w:p>
        </w:tc>
        <w:tc>
          <w:tcPr>
            <w:tcW w:w="1545" w:type="dxa"/>
            <w:vMerge/>
            <w:vAlign w:val="center"/>
          </w:tcPr>
          <w:p w14:paraId="472C7C3A" w14:textId="77777777" w:rsidR="00B4250A" w:rsidRPr="002C4211" w:rsidRDefault="00B4250A" w:rsidP="00300DB0">
            <w:pPr>
              <w:tabs>
                <w:tab w:val="left" w:pos="8789"/>
              </w:tabs>
              <w:autoSpaceDE w:val="0"/>
              <w:autoSpaceDN w:val="0"/>
              <w:adjustRightInd w:val="0"/>
              <w:ind w:right="567"/>
              <w:jc w:val="center"/>
              <w:rPr>
                <w:rFonts w:ascii="Arial" w:hAnsi="Arial" w:cs="Arial"/>
                <w:i/>
                <w:sz w:val="18"/>
                <w:szCs w:val="18"/>
              </w:rPr>
            </w:pPr>
          </w:p>
        </w:tc>
        <w:tc>
          <w:tcPr>
            <w:tcW w:w="0" w:type="auto"/>
          </w:tcPr>
          <w:p w14:paraId="10A68E5F"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H</w:t>
            </w:r>
          </w:p>
        </w:tc>
      </w:tr>
      <w:tr w:rsidR="00B4250A" w:rsidRPr="002C4211" w14:paraId="34957287" w14:textId="77777777" w:rsidTr="00300DB0">
        <w:tc>
          <w:tcPr>
            <w:tcW w:w="0" w:type="auto"/>
          </w:tcPr>
          <w:p w14:paraId="6F86E747" w14:textId="77777777" w:rsidR="00B4250A" w:rsidRPr="00695925" w:rsidRDefault="00B4250A" w:rsidP="00300DB0">
            <w:pPr>
              <w:tabs>
                <w:tab w:val="left" w:pos="8789"/>
              </w:tabs>
              <w:autoSpaceDE w:val="0"/>
              <w:autoSpaceDN w:val="0"/>
              <w:adjustRightInd w:val="0"/>
              <w:ind w:right="567"/>
              <w:jc w:val="both"/>
              <w:rPr>
                <w:rFonts w:ascii="Arial" w:hAnsi="Arial" w:cs="Arial"/>
                <w:b/>
                <w:i/>
                <w:sz w:val="18"/>
                <w:szCs w:val="18"/>
              </w:rPr>
            </w:pPr>
            <w:r w:rsidRPr="00695925">
              <w:rPr>
                <w:rFonts w:ascii="Arial" w:hAnsi="Arial" w:cs="Arial"/>
                <w:b/>
                <w:i/>
                <w:sz w:val="18"/>
                <w:szCs w:val="18"/>
              </w:rPr>
              <w:t>IXTLAHUACÁN</w:t>
            </w:r>
          </w:p>
        </w:tc>
        <w:tc>
          <w:tcPr>
            <w:tcW w:w="0" w:type="auto"/>
          </w:tcPr>
          <w:p w14:paraId="25637F0A"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782</w:t>
            </w:r>
          </w:p>
        </w:tc>
        <w:tc>
          <w:tcPr>
            <w:tcW w:w="0" w:type="auto"/>
          </w:tcPr>
          <w:p w14:paraId="750D5A00"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19.8427</w:t>
            </w:r>
          </w:p>
        </w:tc>
        <w:tc>
          <w:tcPr>
            <w:tcW w:w="1726" w:type="dxa"/>
          </w:tcPr>
          <w:p w14:paraId="1C42BB1F"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3,941</w:t>
            </w:r>
          </w:p>
        </w:tc>
        <w:tc>
          <w:tcPr>
            <w:tcW w:w="1545" w:type="dxa"/>
            <w:vMerge w:val="restart"/>
            <w:vAlign w:val="center"/>
          </w:tcPr>
          <w:p w14:paraId="47115753" w14:textId="77777777" w:rsidR="00B4250A" w:rsidRPr="002C4211" w:rsidRDefault="00B4250A" w:rsidP="00300DB0">
            <w:pPr>
              <w:tabs>
                <w:tab w:val="left" w:pos="8789"/>
              </w:tabs>
              <w:autoSpaceDE w:val="0"/>
              <w:autoSpaceDN w:val="0"/>
              <w:adjustRightInd w:val="0"/>
              <w:ind w:right="567"/>
              <w:jc w:val="center"/>
              <w:rPr>
                <w:rFonts w:ascii="Arial" w:hAnsi="Arial" w:cs="Arial"/>
                <w:i/>
                <w:sz w:val="18"/>
                <w:szCs w:val="18"/>
              </w:rPr>
            </w:pPr>
            <w:r>
              <w:rPr>
                <w:rFonts w:ascii="Arial" w:hAnsi="Arial" w:cs="Arial"/>
                <w:i/>
                <w:sz w:val="18"/>
                <w:szCs w:val="18"/>
              </w:rPr>
              <w:t>BAJA</w:t>
            </w:r>
          </w:p>
        </w:tc>
        <w:tc>
          <w:tcPr>
            <w:tcW w:w="0" w:type="auto"/>
          </w:tcPr>
          <w:p w14:paraId="7F4FD46E"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M</w:t>
            </w:r>
          </w:p>
        </w:tc>
      </w:tr>
      <w:tr w:rsidR="00B4250A" w:rsidRPr="002C4211" w14:paraId="39B07700" w14:textId="77777777" w:rsidTr="00300DB0">
        <w:tc>
          <w:tcPr>
            <w:tcW w:w="0" w:type="auto"/>
          </w:tcPr>
          <w:p w14:paraId="6457748A" w14:textId="77777777" w:rsidR="00B4250A" w:rsidRPr="00695925" w:rsidRDefault="00B4250A" w:rsidP="00300DB0">
            <w:pPr>
              <w:tabs>
                <w:tab w:val="left" w:pos="8789"/>
              </w:tabs>
              <w:autoSpaceDE w:val="0"/>
              <w:autoSpaceDN w:val="0"/>
              <w:adjustRightInd w:val="0"/>
              <w:ind w:right="567"/>
              <w:jc w:val="both"/>
              <w:rPr>
                <w:rFonts w:ascii="Arial" w:hAnsi="Arial" w:cs="Arial"/>
                <w:b/>
                <w:i/>
                <w:sz w:val="18"/>
                <w:szCs w:val="18"/>
              </w:rPr>
            </w:pPr>
            <w:r w:rsidRPr="00695925">
              <w:rPr>
                <w:rFonts w:ascii="Arial" w:hAnsi="Arial" w:cs="Arial"/>
                <w:b/>
                <w:i/>
                <w:sz w:val="18"/>
                <w:szCs w:val="18"/>
              </w:rPr>
              <w:t>MINATITLÁN</w:t>
            </w:r>
          </w:p>
        </w:tc>
        <w:tc>
          <w:tcPr>
            <w:tcW w:w="0" w:type="auto"/>
          </w:tcPr>
          <w:p w14:paraId="0A1EC7A0"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1093</w:t>
            </w:r>
          </w:p>
        </w:tc>
        <w:tc>
          <w:tcPr>
            <w:tcW w:w="0" w:type="auto"/>
          </w:tcPr>
          <w:p w14:paraId="59DCF168"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19.012</w:t>
            </w:r>
          </w:p>
        </w:tc>
        <w:tc>
          <w:tcPr>
            <w:tcW w:w="1726" w:type="dxa"/>
          </w:tcPr>
          <w:p w14:paraId="0C260A09"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5,749</w:t>
            </w:r>
          </w:p>
        </w:tc>
        <w:tc>
          <w:tcPr>
            <w:tcW w:w="1545" w:type="dxa"/>
            <w:vMerge/>
          </w:tcPr>
          <w:p w14:paraId="2A5BBA49"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p>
        </w:tc>
        <w:tc>
          <w:tcPr>
            <w:tcW w:w="0" w:type="auto"/>
          </w:tcPr>
          <w:p w14:paraId="1C065325"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H</w:t>
            </w:r>
          </w:p>
        </w:tc>
      </w:tr>
    </w:tbl>
    <w:p w14:paraId="41D21C8F" w14:textId="77777777" w:rsidR="00B4250A" w:rsidRDefault="00B4250A" w:rsidP="004B1D35">
      <w:pPr>
        <w:tabs>
          <w:tab w:val="left" w:pos="8789"/>
        </w:tabs>
        <w:autoSpaceDE w:val="0"/>
        <w:autoSpaceDN w:val="0"/>
        <w:adjustRightInd w:val="0"/>
        <w:ind w:right="567"/>
        <w:jc w:val="both"/>
        <w:rPr>
          <w:rFonts w:ascii="Arial" w:hAnsi="Arial" w:cs="Arial"/>
          <w:i/>
          <w:sz w:val="22"/>
          <w:szCs w:val="22"/>
        </w:rPr>
      </w:pPr>
    </w:p>
    <w:p w14:paraId="349E6075" w14:textId="77777777" w:rsidR="00B4250A" w:rsidRDefault="00B4250A" w:rsidP="00B4250A">
      <w:pPr>
        <w:tabs>
          <w:tab w:val="left" w:pos="8789"/>
        </w:tabs>
        <w:autoSpaceDE w:val="0"/>
        <w:autoSpaceDN w:val="0"/>
        <w:adjustRightInd w:val="0"/>
        <w:ind w:left="567" w:right="567"/>
        <w:jc w:val="both"/>
        <w:rPr>
          <w:rFonts w:ascii="Arial" w:hAnsi="Arial" w:cs="Arial"/>
          <w:i/>
          <w:sz w:val="22"/>
          <w:szCs w:val="22"/>
        </w:rPr>
      </w:pPr>
    </w:p>
    <w:p w14:paraId="3AE73F6C" w14:textId="77777777" w:rsidR="00B4250A" w:rsidRDefault="00B4250A" w:rsidP="00B4250A">
      <w:pPr>
        <w:tabs>
          <w:tab w:val="left" w:pos="8789"/>
        </w:tabs>
        <w:autoSpaceDE w:val="0"/>
        <w:autoSpaceDN w:val="0"/>
        <w:adjustRightInd w:val="0"/>
        <w:ind w:left="567" w:right="567"/>
        <w:jc w:val="both"/>
        <w:rPr>
          <w:rFonts w:ascii="Arial" w:hAnsi="Arial" w:cs="Arial"/>
          <w:i/>
          <w:sz w:val="22"/>
          <w:szCs w:val="22"/>
        </w:rPr>
      </w:pPr>
    </w:p>
    <w:p w14:paraId="3C507A3B" w14:textId="286503F7" w:rsidR="00B4250A" w:rsidRPr="004B1D35" w:rsidRDefault="00B4250A" w:rsidP="00B4250A">
      <w:pPr>
        <w:pStyle w:val="Prrafodelista"/>
        <w:numPr>
          <w:ilvl w:val="0"/>
          <w:numId w:val="5"/>
        </w:numPr>
        <w:tabs>
          <w:tab w:val="left" w:pos="8789"/>
        </w:tabs>
        <w:autoSpaceDE w:val="0"/>
        <w:autoSpaceDN w:val="0"/>
        <w:adjustRightInd w:val="0"/>
        <w:ind w:right="567"/>
        <w:jc w:val="both"/>
        <w:rPr>
          <w:rFonts w:ascii="Arial" w:hAnsi="Arial" w:cs="Arial"/>
          <w:b/>
          <w:i/>
        </w:rPr>
      </w:pPr>
      <w:r>
        <w:rPr>
          <w:rFonts w:ascii="Arial" w:hAnsi="Arial" w:cs="Arial"/>
          <w:i/>
        </w:rPr>
        <w:t xml:space="preserve">Por ello es que, consultamos respetablemente a este Órgano Electoral </w:t>
      </w:r>
      <w:r w:rsidRPr="00695925">
        <w:rPr>
          <w:rFonts w:ascii="Arial" w:hAnsi="Arial" w:cs="Arial"/>
          <w:b/>
          <w:i/>
        </w:rPr>
        <w:t>¿Si la anterior tabla de Ayuntamientos cumple con los lineamientos del acuerdo IEE/CG/A015/22020 (sic) del principio de paridad?</w:t>
      </w:r>
    </w:p>
    <w:p w14:paraId="766E0F68" w14:textId="77777777" w:rsidR="00B4250A" w:rsidRDefault="00B4250A" w:rsidP="00B4250A">
      <w:pPr>
        <w:tabs>
          <w:tab w:val="left" w:pos="8789"/>
        </w:tabs>
        <w:autoSpaceDE w:val="0"/>
        <w:autoSpaceDN w:val="0"/>
        <w:adjustRightInd w:val="0"/>
        <w:ind w:right="567"/>
        <w:jc w:val="both"/>
        <w:rPr>
          <w:rFonts w:ascii="Arial" w:hAnsi="Arial" w:cs="Arial"/>
          <w:b/>
          <w:i/>
        </w:rPr>
      </w:pPr>
    </w:p>
    <w:p w14:paraId="77521126" w14:textId="77777777" w:rsidR="00B4250A" w:rsidRDefault="00B4250A" w:rsidP="00B4250A">
      <w:pPr>
        <w:tabs>
          <w:tab w:val="left" w:pos="8789"/>
        </w:tabs>
        <w:autoSpaceDE w:val="0"/>
        <w:autoSpaceDN w:val="0"/>
        <w:adjustRightInd w:val="0"/>
        <w:ind w:right="567"/>
        <w:jc w:val="both"/>
        <w:rPr>
          <w:rFonts w:ascii="Arial" w:hAnsi="Arial" w:cs="Arial"/>
          <w:i/>
        </w:rPr>
      </w:pPr>
      <w:r>
        <w:rPr>
          <w:rFonts w:ascii="Arial" w:hAnsi="Arial" w:cs="Arial"/>
          <w:b/>
          <w:i/>
        </w:rPr>
        <w:t xml:space="preserve">SEGUNDO.- </w:t>
      </w:r>
      <w:r>
        <w:rPr>
          <w:rFonts w:ascii="Arial" w:hAnsi="Arial" w:cs="Arial"/>
          <w:i/>
        </w:rPr>
        <w:t xml:space="preserve">En el mismo sentido y derivado de la Candidatura Común, y de la participación como Partido en lo individual, se enlistan y se conforman los bloques según la votación obtenida del Partido Político de Movimiento de Regeneración Nacional, es que se propone la siguiente integración la variación de género en los municipios de Villa de Álvarez e Ixtlahuacán, cambiando el género de hombre por mujer en Villa de Álvarez y de mujer por hombre en Ixtlahuacán. La sustitución obedece a que la mujer que se propone en Villa de Álvarez, tiene mejor rentabilidad electoral que cualquier otro candidato varón con los que cuenta el partido. </w:t>
      </w:r>
    </w:p>
    <w:p w14:paraId="29DEBCE4" w14:textId="77777777" w:rsidR="00B4250A" w:rsidRDefault="00B4250A" w:rsidP="00B4250A">
      <w:pPr>
        <w:tabs>
          <w:tab w:val="left" w:pos="8789"/>
        </w:tabs>
        <w:autoSpaceDE w:val="0"/>
        <w:autoSpaceDN w:val="0"/>
        <w:adjustRightInd w:val="0"/>
        <w:ind w:right="567"/>
        <w:jc w:val="both"/>
        <w:rPr>
          <w:rFonts w:ascii="Arial" w:hAnsi="Arial" w:cs="Arial"/>
          <w:i/>
        </w:rPr>
      </w:pPr>
    </w:p>
    <w:p w14:paraId="61014E7E" w14:textId="77777777" w:rsidR="00B4250A" w:rsidRDefault="00B4250A" w:rsidP="00B4250A">
      <w:pPr>
        <w:tabs>
          <w:tab w:val="left" w:pos="8789"/>
        </w:tabs>
        <w:autoSpaceDE w:val="0"/>
        <w:autoSpaceDN w:val="0"/>
        <w:adjustRightInd w:val="0"/>
        <w:ind w:right="567"/>
        <w:jc w:val="both"/>
        <w:rPr>
          <w:rFonts w:ascii="Arial" w:hAnsi="Arial" w:cs="Arial"/>
          <w:i/>
        </w:rPr>
      </w:pPr>
    </w:p>
    <w:tbl>
      <w:tblPr>
        <w:tblStyle w:val="Tablaconcuadrcula"/>
        <w:tblpPr w:leftFromText="141" w:rightFromText="141" w:vertAnchor="text" w:horzAnchor="margin" w:tblpXSpec="center" w:tblpY="-79"/>
        <w:tblW w:w="10351" w:type="dxa"/>
        <w:tblLook w:val="04A0" w:firstRow="1" w:lastRow="0" w:firstColumn="1" w:lastColumn="0" w:noHBand="0" w:noVBand="1"/>
      </w:tblPr>
      <w:tblGrid>
        <w:gridCol w:w="2230"/>
        <w:gridCol w:w="1724"/>
        <w:gridCol w:w="1574"/>
        <w:gridCol w:w="1724"/>
        <w:gridCol w:w="1535"/>
        <w:gridCol w:w="1564"/>
      </w:tblGrid>
      <w:tr w:rsidR="00B4250A" w:rsidRPr="002C4211" w14:paraId="0106234F" w14:textId="77777777" w:rsidTr="00300DB0">
        <w:tc>
          <w:tcPr>
            <w:tcW w:w="0" w:type="auto"/>
            <w:gridSpan w:val="6"/>
          </w:tcPr>
          <w:p w14:paraId="0A2D258C" w14:textId="77777777" w:rsidR="00B4250A" w:rsidRPr="002C4211" w:rsidRDefault="00B4250A" w:rsidP="00300DB0">
            <w:pPr>
              <w:tabs>
                <w:tab w:val="left" w:pos="8789"/>
              </w:tabs>
              <w:autoSpaceDE w:val="0"/>
              <w:autoSpaceDN w:val="0"/>
              <w:adjustRightInd w:val="0"/>
              <w:ind w:right="567"/>
              <w:jc w:val="center"/>
              <w:rPr>
                <w:rFonts w:ascii="Arial" w:hAnsi="Arial" w:cs="Arial"/>
                <w:b/>
                <w:i/>
                <w:sz w:val="18"/>
                <w:szCs w:val="18"/>
              </w:rPr>
            </w:pPr>
            <w:r w:rsidRPr="002C4211">
              <w:rPr>
                <w:rFonts w:ascii="Arial" w:hAnsi="Arial" w:cs="Arial"/>
                <w:b/>
                <w:i/>
                <w:sz w:val="18"/>
                <w:szCs w:val="18"/>
              </w:rPr>
              <w:t>H. AYUNTAMIENTOS</w:t>
            </w:r>
          </w:p>
        </w:tc>
      </w:tr>
      <w:tr w:rsidR="00B4250A" w:rsidRPr="002C4211" w14:paraId="447BCDD7" w14:textId="77777777" w:rsidTr="00300DB0">
        <w:tc>
          <w:tcPr>
            <w:tcW w:w="2225" w:type="dxa"/>
            <w:vAlign w:val="center"/>
          </w:tcPr>
          <w:p w14:paraId="6385510F" w14:textId="77777777" w:rsidR="00B4250A" w:rsidRPr="002C4211" w:rsidRDefault="00B4250A" w:rsidP="00300DB0">
            <w:pPr>
              <w:tabs>
                <w:tab w:val="left" w:pos="8789"/>
              </w:tabs>
              <w:autoSpaceDE w:val="0"/>
              <w:autoSpaceDN w:val="0"/>
              <w:adjustRightInd w:val="0"/>
              <w:ind w:right="567"/>
              <w:rPr>
                <w:rFonts w:ascii="Arial" w:hAnsi="Arial" w:cs="Arial"/>
                <w:i/>
                <w:sz w:val="18"/>
                <w:szCs w:val="18"/>
              </w:rPr>
            </w:pPr>
            <w:r w:rsidRPr="002C4211">
              <w:rPr>
                <w:rFonts w:ascii="Arial" w:hAnsi="Arial" w:cs="Arial"/>
                <w:i/>
                <w:sz w:val="18"/>
                <w:szCs w:val="18"/>
              </w:rPr>
              <w:t>MUNIC</w:t>
            </w:r>
            <w:r>
              <w:rPr>
                <w:rFonts w:ascii="Arial" w:hAnsi="Arial" w:cs="Arial"/>
                <w:i/>
                <w:sz w:val="18"/>
                <w:szCs w:val="18"/>
              </w:rPr>
              <w:t>IPIO</w:t>
            </w:r>
          </w:p>
        </w:tc>
        <w:tc>
          <w:tcPr>
            <w:tcW w:w="0" w:type="auto"/>
            <w:vAlign w:val="center"/>
          </w:tcPr>
          <w:p w14:paraId="0C83919B" w14:textId="77777777" w:rsidR="00B4250A" w:rsidRPr="002C4211" w:rsidRDefault="00B4250A" w:rsidP="00300DB0">
            <w:pPr>
              <w:tabs>
                <w:tab w:val="left" w:pos="8789"/>
              </w:tabs>
              <w:autoSpaceDE w:val="0"/>
              <w:autoSpaceDN w:val="0"/>
              <w:adjustRightInd w:val="0"/>
              <w:ind w:right="567"/>
              <w:rPr>
                <w:rFonts w:ascii="Arial" w:hAnsi="Arial" w:cs="Arial"/>
                <w:i/>
                <w:sz w:val="18"/>
                <w:szCs w:val="18"/>
              </w:rPr>
            </w:pPr>
            <w:r w:rsidRPr="002C4211">
              <w:rPr>
                <w:rFonts w:ascii="Arial" w:hAnsi="Arial" w:cs="Arial"/>
                <w:i/>
                <w:sz w:val="18"/>
                <w:szCs w:val="18"/>
              </w:rPr>
              <w:t>VOTACIÓN MORENA</w:t>
            </w:r>
          </w:p>
        </w:tc>
        <w:tc>
          <w:tcPr>
            <w:tcW w:w="0" w:type="auto"/>
            <w:vAlign w:val="center"/>
          </w:tcPr>
          <w:p w14:paraId="2E75AE7E" w14:textId="77777777" w:rsidR="00B4250A" w:rsidRPr="002C4211" w:rsidRDefault="00B4250A" w:rsidP="00300DB0">
            <w:pPr>
              <w:tabs>
                <w:tab w:val="left" w:pos="8789"/>
              </w:tabs>
              <w:autoSpaceDE w:val="0"/>
              <w:autoSpaceDN w:val="0"/>
              <w:adjustRightInd w:val="0"/>
              <w:ind w:right="567"/>
              <w:rPr>
                <w:rFonts w:ascii="Arial" w:hAnsi="Arial" w:cs="Arial"/>
                <w:i/>
                <w:sz w:val="18"/>
                <w:szCs w:val="18"/>
              </w:rPr>
            </w:pPr>
            <w:r w:rsidRPr="002C4211">
              <w:rPr>
                <w:rFonts w:ascii="Arial" w:hAnsi="Arial" w:cs="Arial"/>
                <w:i/>
                <w:sz w:val="18"/>
                <w:szCs w:val="18"/>
              </w:rPr>
              <w:t>% MORENA</w:t>
            </w:r>
          </w:p>
        </w:tc>
        <w:tc>
          <w:tcPr>
            <w:tcW w:w="0" w:type="auto"/>
            <w:vAlign w:val="center"/>
          </w:tcPr>
          <w:p w14:paraId="73B3E0AD" w14:textId="77777777" w:rsidR="00B4250A" w:rsidRPr="002C4211" w:rsidRDefault="00B4250A" w:rsidP="00300DB0">
            <w:pPr>
              <w:tabs>
                <w:tab w:val="left" w:pos="8789"/>
              </w:tabs>
              <w:autoSpaceDE w:val="0"/>
              <w:autoSpaceDN w:val="0"/>
              <w:adjustRightInd w:val="0"/>
              <w:ind w:right="567"/>
              <w:rPr>
                <w:rFonts w:ascii="Arial" w:hAnsi="Arial" w:cs="Arial"/>
                <w:i/>
                <w:sz w:val="18"/>
                <w:szCs w:val="18"/>
              </w:rPr>
            </w:pPr>
            <w:r w:rsidRPr="002C4211">
              <w:rPr>
                <w:rFonts w:ascii="Arial" w:hAnsi="Arial" w:cs="Arial"/>
                <w:i/>
                <w:sz w:val="18"/>
                <w:szCs w:val="18"/>
              </w:rPr>
              <w:t>UNIVERSO TOTAL DE VOTACIÓN</w:t>
            </w:r>
          </w:p>
        </w:tc>
        <w:tc>
          <w:tcPr>
            <w:tcW w:w="0" w:type="auto"/>
            <w:vAlign w:val="center"/>
          </w:tcPr>
          <w:p w14:paraId="56BF42EF" w14:textId="77777777" w:rsidR="00B4250A" w:rsidRPr="002C4211" w:rsidRDefault="00B4250A" w:rsidP="00300DB0">
            <w:pPr>
              <w:tabs>
                <w:tab w:val="left" w:pos="8789"/>
              </w:tabs>
              <w:autoSpaceDE w:val="0"/>
              <w:autoSpaceDN w:val="0"/>
              <w:adjustRightInd w:val="0"/>
              <w:ind w:right="567"/>
              <w:rPr>
                <w:rFonts w:ascii="Arial" w:hAnsi="Arial" w:cs="Arial"/>
                <w:i/>
                <w:sz w:val="18"/>
                <w:szCs w:val="18"/>
              </w:rPr>
            </w:pPr>
            <w:r w:rsidRPr="002C4211">
              <w:rPr>
                <w:rFonts w:ascii="Arial" w:hAnsi="Arial" w:cs="Arial"/>
                <w:i/>
                <w:sz w:val="18"/>
                <w:szCs w:val="18"/>
              </w:rPr>
              <w:t>TIPO DE BLOQUE</w:t>
            </w:r>
          </w:p>
        </w:tc>
        <w:tc>
          <w:tcPr>
            <w:tcW w:w="0" w:type="auto"/>
            <w:vAlign w:val="center"/>
          </w:tcPr>
          <w:p w14:paraId="0277AEDC" w14:textId="77777777" w:rsidR="00B4250A" w:rsidRPr="002C4211" w:rsidRDefault="00B4250A" w:rsidP="00300DB0">
            <w:pPr>
              <w:tabs>
                <w:tab w:val="left" w:pos="8789"/>
              </w:tabs>
              <w:autoSpaceDE w:val="0"/>
              <w:autoSpaceDN w:val="0"/>
              <w:adjustRightInd w:val="0"/>
              <w:ind w:right="567"/>
              <w:rPr>
                <w:rFonts w:ascii="Arial" w:hAnsi="Arial" w:cs="Arial"/>
                <w:i/>
                <w:sz w:val="18"/>
                <w:szCs w:val="18"/>
              </w:rPr>
            </w:pPr>
            <w:r w:rsidRPr="002C4211">
              <w:rPr>
                <w:rFonts w:ascii="Arial" w:hAnsi="Arial" w:cs="Arial"/>
                <w:i/>
                <w:sz w:val="18"/>
                <w:szCs w:val="18"/>
              </w:rPr>
              <w:t>GÉNERO</w:t>
            </w:r>
          </w:p>
        </w:tc>
      </w:tr>
      <w:tr w:rsidR="00B4250A" w:rsidRPr="002C4211" w14:paraId="074F1433" w14:textId="77777777" w:rsidTr="00300DB0">
        <w:tc>
          <w:tcPr>
            <w:tcW w:w="0" w:type="auto"/>
          </w:tcPr>
          <w:p w14:paraId="5C94997B" w14:textId="77777777" w:rsidR="00B4250A" w:rsidRPr="00695925" w:rsidRDefault="00B4250A" w:rsidP="00300DB0">
            <w:pPr>
              <w:tabs>
                <w:tab w:val="left" w:pos="8789"/>
              </w:tabs>
              <w:autoSpaceDE w:val="0"/>
              <w:autoSpaceDN w:val="0"/>
              <w:adjustRightInd w:val="0"/>
              <w:ind w:right="567"/>
              <w:jc w:val="both"/>
              <w:rPr>
                <w:rFonts w:ascii="Arial" w:hAnsi="Arial" w:cs="Arial"/>
                <w:b/>
                <w:i/>
                <w:sz w:val="18"/>
                <w:szCs w:val="18"/>
              </w:rPr>
            </w:pPr>
            <w:r w:rsidRPr="00695925">
              <w:rPr>
                <w:rFonts w:ascii="Arial" w:hAnsi="Arial" w:cs="Arial"/>
                <w:b/>
                <w:i/>
                <w:sz w:val="18"/>
                <w:szCs w:val="18"/>
              </w:rPr>
              <w:t>ARMERÍA</w:t>
            </w:r>
          </w:p>
        </w:tc>
        <w:tc>
          <w:tcPr>
            <w:tcW w:w="1724" w:type="dxa"/>
          </w:tcPr>
          <w:p w14:paraId="4BD0F580"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4,606</w:t>
            </w:r>
          </w:p>
        </w:tc>
        <w:tc>
          <w:tcPr>
            <w:tcW w:w="1575" w:type="dxa"/>
          </w:tcPr>
          <w:p w14:paraId="2A6705F8"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35.9872</w:t>
            </w:r>
          </w:p>
        </w:tc>
        <w:tc>
          <w:tcPr>
            <w:tcW w:w="1725" w:type="dxa"/>
          </w:tcPr>
          <w:p w14:paraId="4D5CC619"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12,799</w:t>
            </w:r>
          </w:p>
        </w:tc>
        <w:tc>
          <w:tcPr>
            <w:tcW w:w="1538" w:type="dxa"/>
            <w:vMerge w:val="restart"/>
            <w:vAlign w:val="center"/>
          </w:tcPr>
          <w:p w14:paraId="7B288019" w14:textId="77777777" w:rsidR="00B4250A" w:rsidRPr="002C4211" w:rsidRDefault="00B4250A" w:rsidP="00300DB0">
            <w:pPr>
              <w:tabs>
                <w:tab w:val="left" w:pos="8789"/>
              </w:tabs>
              <w:autoSpaceDE w:val="0"/>
              <w:autoSpaceDN w:val="0"/>
              <w:adjustRightInd w:val="0"/>
              <w:ind w:right="567"/>
              <w:jc w:val="center"/>
              <w:rPr>
                <w:rFonts w:ascii="Arial" w:hAnsi="Arial" w:cs="Arial"/>
                <w:i/>
                <w:sz w:val="18"/>
                <w:szCs w:val="18"/>
              </w:rPr>
            </w:pPr>
            <w:r>
              <w:rPr>
                <w:rFonts w:ascii="Arial" w:hAnsi="Arial" w:cs="Arial"/>
                <w:i/>
                <w:sz w:val="18"/>
                <w:szCs w:val="18"/>
              </w:rPr>
              <w:t>ALTA</w:t>
            </w:r>
          </w:p>
        </w:tc>
        <w:tc>
          <w:tcPr>
            <w:tcW w:w="0" w:type="auto"/>
          </w:tcPr>
          <w:p w14:paraId="5BC7492C"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M</w:t>
            </w:r>
          </w:p>
        </w:tc>
      </w:tr>
      <w:tr w:rsidR="00B4250A" w:rsidRPr="002C4211" w14:paraId="1BEFA91F" w14:textId="77777777" w:rsidTr="00300DB0">
        <w:tc>
          <w:tcPr>
            <w:tcW w:w="0" w:type="auto"/>
          </w:tcPr>
          <w:p w14:paraId="7FC69BA0" w14:textId="77777777" w:rsidR="00B4250A" w:rsidRPr="00695925" w:rsidRDefault="00B4250A" w:rsidP="00300DB0">
            <w:pPr>
              <w:tabs>
                <w:tab w:val="left" w:pos="8789"/>
              </w:tabs>
              <w:autoSpaceDE w:val="0"/>
              <w:autoSpaceDN w:val="0"/>
              <w:adjustRightInd w:val="0"/>
              <w:ind w:right="567"/>
              <w:jc w:val="both"/>
              <w:rPr>
                <w:rFonts w:ascii="Arial" w:hAnsi="Arial" w:cs="Arial"/>
                <w:b/>
                <w:i/>
                <w:sz w:val="18"/>
                <w:szCs w:val="18"/>
              </w:rPr>
            </w:pPr>
            <w:r w:rsidRPr="00695925">
              <w:rPr>
                <w:rFonts w:ascii="Arial" w:hAnsi="Arial" w:cs="Arial"/>
                <w:b/>
                <w:i/>
                <w:sz w:val="18"/>
                <w:szCs w:val="18"/>
              </w:rPr>
              <w:t>TECOMÁN</w:t>
            </w:r>
          </w:p>
        </w:tc>
        <w:tc>
          <w:tcPr>
            <w:tcW w:w="0" w:type="auto"/>
          </w:tcPr>
          <w:p w14:paraId="014D44B0"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15,744</w:t>
            </w:r>
          </w:p>
        </w:tc>
        <w:tc>
          <w:tcPr>
            <w:tcW w:w="0" w:type="auto"/>
          </w:tcPr>
          <w:p w14:paraId="0C50B549"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35.5708</w:t>
            </w:r>
          </w:p>
        </w:tc>
        <w:tc>
          <w:tcPr>
            <w:tcW w:w="1725" w:type="dxa"/>
          </w:tcPr>
          <w:p w14:paraId="0F475E7B"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44,261</w:t>
            </w:r>
          </w:p>
        </w:tc>
        <w:tc>
          <w:tcPr>
            <w:tcW w:w="1538" w:type="dxa"/>
            <w:vMerge/>
            <w:vAlign w:val="center"/>
          </w:tcPr>
          <w:p w14:paraId="40005310" w14:textId="77777777" w:rsidR="00B4250A" w:rsidRPr="002C4211" w:rsidRDefault="00B4250A" w:rsidP="00300DB0">
            <w:pPr>
              <w:tabs>
                <w:tab w:val="left" w:pos="8789"/>
              </w:tabs>
              <w:autoSpaceDE w:val="0"/>
              <w:autoSpaceDN w:val="0"/>
              <w:adjustRightInd w:val="0"/>
              <w:ind w:right="567"/>
              <w:jc w:val="center"/>
              <w:rPr>
                <w:rFonts w:ascii="Arial" w:hAnsi="Arial" w:cs="Arial"/>
                <w:i/>
                <w:sz w:val="18"/>
                <w:szCs w:val="18"/>
              </w:rPr>
            </w:pPr>
          </w:p>
        </w:tc>
        <w:tc>
          <w:tcPr>
            <w:tcW w:w="0" w:type="auto"/>
          </w:tcPr>
          <w:p w14:paraId="677F5BBF"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H</w:t>
            </w:r>
          </w:p>
        </w:tc>
      </w:tr>
      <w:tr w:rsidR="00B4250A" w:rsidRPr="002C4211" w14:paraId="31CE199C" w14:textId="77777777" w:rsidTr="00300DB0">
        <w:tc>
          <w:tcPr>
            <w:tcW w:w="0" w:type="auto"/>
          </w:tcPr>
          <w:p w14:paraId="5437D1F8" w14:textId="77777777" w:rsidR="00B4250A" w:rsidRPr="00695925" w:rsidRDefault="00B4250A" w:rsidP="00300DB0">
            <w:pPr>
              <w:tabs>
                <w:tab w:val="left" w:pos="8789"/>
              </w:tabs>
              <w:autoSpaceDE w:val="0"/>
              <w:autoSpaceDN w:val="0"/>
              <w:adjustRightInd w:val="0"/>
              <w:ind w:right="567"/>
              <w:jc w:val="both"/>
              <w:rPr>
                <w:rFonts w:ascii="Arial" w:hAnsi="Arial" w:cs="Arial"/>
                <w:b/>
                <w:i/>
                <w:sz w:val="18"/>
                <w:szCs w:val="18"/>
              </w:rPr>
            </w:pPr>
            <w:r w:rsidRPr="00695925">
              <w:rPr>
                <w:rFonts w:ascii="Arial" w:hAnsi="Arial" w:cs="Arial"/>
                <w:b/>
                <w:i/>
                <w:sz w:val="18"/>
                <w:szCs w:val="18"/>
              </w:rPr>
              <w:t>MANZANILLO</w:t>
            </w:r>
          </w:p>
        </w:tc>
        <w:tc>
          <w:tcPr>
            <w:tcW w:w="0" w:type="auto"/>
          </w:tcPr>
          <w:p w14:paraId="7C7EEA69"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25,589</w:t>
            </w:r>
          </w:p>
        </w:tc>
        <w:tc>
          <w:tcPr>
            <w:tcW w:w="0" w:type="auto"/>
          </w:tcPr>
          <w:p w14:paraId="2BF3BDC0"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31.4895</w:t>
            </w:r>
          </w:p>
        </w:tc>
        <w:tc>
          <w:tcPr>
            <w:tcW w:w="1725" w:type="dxa"/>
          </w:tcPr>
          <w:p w14:paraId="40C32F1D"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81,262</w:t>
            </w:r>
          </w:p>
        </w:tc>
        <w:tc>
          <w:tcPr>
            <w:tcW w:w="1538" w:type="dxa"/>
            <w:vMerge w:val="restart"/>
            <w:vAlign w:val="center"/>
          </w:tcPr>
          <w:p w14:paraId="1AF34680" w14:textId="77777777" w:rsidR="00B4250A" w:rsidRPr="002C4211" w:rsidRDefault="00B4250A" w:rsidP="00300DB0">
            <w:pPr>
              <w:tabs>
                <w:tab w:val="left" w:pos="8789"/>
              </w:tabs>
              <w:autoSpaceDE w:val="0"/>
              <w:autoSpaceDN w:val="0"/>
              <w:adjustRightInd w:val="0"/>
              <w:ind w:right="567"/>
              <w:jc w:val="center"/>
              <w:rPr>
                <w:rFonts w:ascii="Arial" w:hAnsi="Arial" w:cs="Arial"/>
                <w:i/>
                <w:sz w:val="18"/>
                <w:szCs w:val="18"/>
              </w:rPr>
            </w:pPr>
            <w:r>
              <w:rPr>
                <w:rFonts w:ascii="Arial" w:hAnsi="Arial" w:cs="Arial"/>
                <w:i/>
                <w:sz w:val="18"/>
                <w:szCs w:val="18"/>
              </w:rPr>
              <w:t>MEDIA</w:t>
            </w:r>
          </w:p>
        </w:tc>
        <w:tc>
          <w:tcPr>
            <w:tcW w:w="0" w:type="auto"/>
          </w:tcPr>
          <w:p w14:paraId="01E4639C"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M</w:t>
            </w:r>
          </w:p>
        </w:tc>
      </w:tr>
      <w:tr w:rsidR="00B4250A" w:rsidRPr="002C4211" w14:paraId="17C12BB4" w14:textId="77777777" w:rsidTr="00300DB0">
        <w:tc>
          <w:tcPr>
            <w:tcW w:w="0" w:type="auto"/>
          </w:tcPr>
          <w:p w14:paraId="4AB94985" w14:textId="77777777" w:rsidR="00B4250A" w:rsidRPr="00695925" w:rsidRDefault="00B4250A" w:rsidP="00300DB0">
            <w:pPr>
              <w:tabs>
                <w:tab w:val="left" w:pos="8789"/>
              </w:tabs>
              <w:autoSpaceDE w:val="0"/>
              <w:autoSpaceDN w:val="0"/>
              <w:adjustRightInd w:val="0"/>
              <w:ind w:right="567"/>
              <w:jc w:val="both"/>
              <w:rPr>
                <w:rFonts w:ascii="Arial" w:hAnsi="Arial" w:cs="Arial"/>
                <w:b/>
                <w:i/>
                <w:sz w:val="18"/>
                <w:szCs w:val="18"/>
              </w:rPr>
            </w:pPr>
            <w:r w:rsidRPr="00695925">
              <w:rPr>
                <w:rFonts w:ascii="Arial" w:hAnsi="Arial" w:cs="Arial"/>
                <w:b/>
                <w:i/>
                <w:sz w:val="18"/>
                <w:szCs w:val="18"/>
              </w:rPr>
              <w:t>VILLA DE ÁLVAREZ</w:t>
            </w:r>
          </w:p>
        </w:tc>
        <w:tc>
          <w:tcPr>
            <w:tcW w:w="0" w:type="auto"/>
          </w:tcPr>
          <w:p w14:paraId="4146479C"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15,448</w:t>
            </w:r>
          </w:p>
        </w:tc>
        <w:tc>
          <w:tcPr>
            <w:tcW w:w="0" w:type="auto"/>
          </w:tcPr>
          <w:p w14:paraId="403612C6"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24.9685</w:t>
            </w:r>
          </w:p>
        </w:tc>
        <w:tc>
          <w:tcPr>
            <w:tcW w:w="1725" w:type="dxa"/>
          </w:tcPr>
          <w:p w14:paraId="757B0D5E"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61,870</w:t>
            </w:r>
          </w:p>
        </w:tc>
        <w:tc>
          <w:tcPr>
            <w:tcW w:w="1538" w:type="dxa"/>
            <w:vMerge/>
            <w:vAlign w:val="center"/>
          </w:tcPr>
          <w:p w14:paraId="0CBCCE61" w14:textId="77777777" w:rsidR="00B4250A" w:rsidRPr="002C4211" w:rsidRDefault="00B4250A" w:rsidP="00300DB0">
            <w:pPr>
              <w:tabs>
                <w:tab w:val="left" w:pos="8789"/>
              </w:tabs>
              <w:autoSpaceDE w:val="0"/>
              <w:autoSpaceDN w:val="0"/>
              <w:adjustRightInd w:val="0"/>
              <w:ind w:right="567"/>
              <w:jc w:val="center"/>
              <w:rPr>
                <w:rFonts w:ascii="Arial" w:hAnsi="Arial" w:cs="Arial"/>
                <w:i/>
                <w:sz w:val="18"/>
                <w:szCs w:val="18"/>
              </w:rPr>
            </w:pPr>
          </w:p>
        </w:tc>
        <w:tc>
          <w:tcPr>
            <w:tcW w:w="0" w:type="auto"/>
          </w:tcPr>
          <w:p w14:paraId="42462333"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M</w:t>
            </w:r>
          </w:p>
        </w:tc>
      </w:tr>
      <w:tr w:rsidR="00B4250A" w:rsidRPr="002C4211" w14:paraId="32E840D2" w14:textId="77777777" w:rsidTr="00300DB0">
        <w:tc>
          <w:tcPr>
            <w:tcW w:w="0" w:type="auto"/>
          </w:tcPr>
          <w:p w14:paraId="68B65980" w14:textId="77777777" w:rsidR="00B4250A" w:rsidRPr="00695925" w:rsidRDefault="00B4250A" w:rsidP="00300DB0">
            <w:pPr>
              <w:tabs>
                <w:tab w:val="left" w:pos="8789"/>
              </w:tabs>
              <w:autoSpaceDE w:val="0"/>
              <w:autoSpaceDN w:val="0"/>
              <w:adjustRightInd w:val="0"/>
              <w:ind w:right="567"/>
              <w:jc w:val="both"/>
              <w:rPr>
                <w:rFonts w:ascii="Arial" w:hAnsi="Arial" w:cs="Arial"/>
                <w:b/>
                <w:i/>
                <w:sz w:val="18"/>
                <w:szCs w:val="18"/>
              </w:rPr>
            </w:pPr>
            <w:r w:rsidRPr="00695925">
              <w:rPr>
                <w:rFonts w:ascii="Arial" w:hAnsi="Arial" w:cs="Arial"/>
                <w:b/>
                <w:i/>
                <w:sz w:val="18"/>
                <w:szCs w:val="18"/>
              </w:rPr>
              <w:t>IXTLAHUACÁN</w:t>
            </w:r>
          </w:p>
        </w:tc>
        <w:tc>
          <w:tcPr>
            <w:tcW w:w="0" w:type="auto"/>
          </w:tcPr>
          <w:p w14:paraId="36947DC9"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782</w:t>
            </w:r>
          </w:p>
        </w:tc>
        <w:tc>
          <w:tcPr>
            <w:tcW w:w="0" w:type="auto"/>
          </w:tcPr>
          <w:p w14:paraId="79AA4C47"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19.8427</w:t>
            </w:r>
          </w:p>
        </w:tc>
        <w:tc>
          <w:tcPr>
            <w:tcW w:w="1725" w:type="dxa"/>
          </w:tcPr>
          <w:p w14:paraId="153D2BD8"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3,941</w:t>
            </w:r>
          </w:p>
        </w:tc>
        <w:tc>
          <w:tcPr>
            <w:tcW w:w="1538" w:type="dxa"/>
            <w:vMerge w:val="restart"/>
            <w:vAlign w:val="center"/>
          </w:tcPr>
          <w:p w14:paraId="66C7AE3F" w14:textId="77777777" w:rsidR="00B4250A" w:rsidRPr="002C4211" w:rsidRDefault="00B4250A" w:rsidP="00300DB0">
            <w:pPr>
              <w:tabs>
                <w:tab w:val="left" w:pos="8789"/>
              </w:tabs>
              <w:autoSpaceDE w:val="0"/>
              <w:autoSpaceDN w:val="0"/>
              <w:adjustRightInd w:val="0"/>
              <w:ind w:right="567"/>
              <w:jc w:val="center"/>
              <w:rPr>
                <w:rFonts w:ascii="Arial" w:hAnsi="Arial" w:cs="Arial"/>
                <w:i/>
                <w:sz w:val="18"/>
                <w:szCs w:val="18"/>
              </w:rPr>
            </w:pPr>
            <w:r>
              <w:rPr>
                <w:rFonts w:ascii="Arial" w:hAnsi="Arial" w:cs="Arial"/>
                <w:i/>
                <w:sz w:val="18"/>
                <w:szCs w:val="18"/>
              </w:rPr>
              <w:t>BAJA</w:t>
            </w:r>
          </w:p>
        </w:tc>
        <w:tc>
          <w:tcPr>
            <w:tcW w:w="0" w:type="auto"/>
          </w:tcPr>
          <w:p w14:paraId="15748A3F"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H</w:t>
            </w:r>
          </w:p>
        </w:tc>
      </w:tr>
      <w:tr w:rsidR="00B4250A" w:rsidRPr="002C4211" w14:paraId="15ACA9BA" w14:textId="77777777" w:rsidTr="00300DB0">
        <w:tc>
          <w:tcPr>
            <w:tcW w:w="0" w:type="auto"/>
          </w:tcPr>
          <w:p w14:paraId="130B7908" w14:textId="77777777" w:rsidR="00B4250A" w:rsidRPr="00695925" w:rsidRDefault="00B4250A" w:rsidP="00300DB0">
            <w:pPr>
              <w:tabs>
                <w:tab w:val="left" w:pos="8789"/>
              </w:tabs>
              <w:autoSpaceDE w:val="0"/>
              <w:autoSpaceDN w:val="0"/>
              <w:adjustRightInd w:val="0"/>
              <w:ind w:right="567"/>
              <w:jc w:val="both"/>
              <w:rPr>
                <w:rFonts w:ascii="Arial" w:hAnsi="Arial" w:cs="Arial"/>
                <w:b/>
                <w:i/>
                <w:sz w:val="18"/>
                <w:szCs w:val="18"/>
              </w:rPr>
            </w:pPr>
            <w:r w:rsidRPr="00695925">
              <w:rPr>
                <w:rFonts w:ascii="Arial" w:hAnsi="Arial" w:cs="Arial"/>
                <w:b/>
                <w:i/>
                <w:sz w:val="18"/>
                <w:szCs w:val="18"/>
              </w:rPr>
              <w:t>MINATITLÁN</w:t>
            </w:r>
          </w:p>
        </w:tc>
        <w:tc>
          <w:tcPr>
            <w:tcW w:w="0" w:type="auto"/>
          </w:tcPr>
          <w:p w14:paraId="3A2ED8FC"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1093</w:t>
            </w:r>
          </w:p>
        </w:tc>
        <w:tc>
          <w:tcPr>
            <w:tcW w:w="0" w:type="auto"/>
          </w:tcPr>
          <w:p w14:paraId="3247146A"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19.012</w:t>
            </w:r>
          </w:p>
        </w:tc>
        <w:tc>
          <w:tcPr>
            <w:tcW w:w="1725" w:type="dxa"/>
          </w:tcPr>
          <w:p w14:paraId="6BE6EA51"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5,749</w:t>
            </w:r>
          </w:p>
        </w:tc>
        <w:tc>
          <w:tcPr>
            <w:tcW w:w="1538" w:type="dxa"/>
            <w:vMerge/>
          </w:tcPr>
          <w:p w14:paraId="14B80E07"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p>
        </w:tc>
        <w:tc>
          <w:tcPr>
            <w:tcW w:w="0" w:type="auto"/>
          </w:tcPr>
          <w:p w14:paraId="73FEEBE5" w14:textId="77777777" w:rsidR="00B4250A" w:rsidRPr="002C4211" w:rsidRDefault="00B4250A" w:rsidP="00300DB0">
            <w:pPr>
              <w:tabs>
                <w:tab w:val="left" w:pos="8789"/>
              </w:tabs>
              <w:autoSpaceDE w:val="0"/>
              <w:autoSpaceDN w:val="0"/>
              <w:adjustRightInd w:val="0"/>
              <w:ind w:right="567"/>
              <w:jc w:val="both"/>
              <w:rPr>
                <w:rFonts w:ascii="Arial" w:hAnsi="Arial" w:cs="Arial"/>
                <w:i/>
                <w:sz w:val="18"/>
                <w:szCs w:val="18"/>
              </w:rPr>
            </w:pPr>
            <w:r>
              <w:rPr>
                <w:rFonts w:ascii="Arial" w:hAnsi="Arial" w:cs="Arial"/>
                <w:i/>
                <w:sz w:val="18"/>
                <w:szCs w:val="18"/>
              </w:rPr>
              <w:t>H</w:t>
            </w:r>
          </w:p>
        </w:tc>
      </w:tr>
    </w:tbl>
    <w:p w14:paraId="1BF81007" w14:textId="77777777" w:rsidR="00B4250A" w:rsidRDefault="00B4250A" w:rsidP="00B4250A">
      <w:pPr>
        <w:tabs>
          <w:tab w:val="left" w:pos="8789"/>
        </w:tabs>
        <w:autoSpaceDE w:val="0"/>
        <w:autoSpaceDN w:val="0"/>
        <w:adjustRightInd w:val="0"/>
        <w:ind w:left="567" w:right="567"/>
        <w:jc w:val="both"/>
        <w:rPr>
          <w:rFonts w:ascii="Arial" w:hAnsi="Arial" w:cs="Arial"/>
          <w:i/>
          <w:sz w:val="18"/>
          <w:szCs w:val="18"/>
        </w:rPr>
      </w:pPr>
      <w:r w:rsidRPr="002C4211">
        <w:rPr>
          <w:rFonts w:ascii="Arial" w:hAnsi="Arial" w:cs="Arial"/>
          <w:i/>
          <w:sz w:val="18"/>
          <w:szCs w:val="18"/>
        </w:rPr>
        <w:t xml:space="preserve"> </w:t>
      </w:r>
    </w:p>
    <w:p w14:paraId="168B8CA6" w14:textId="77777777" w:rsidR="00B4250A" w:rsidRDefault="00B4250A" w:rsidP="00B4250A">
      <w:pPr>
        <w:tabs>
          <w:tab w:val="left" w:pos="8789"/>
        </w:tabs>
        <w:autoSpaceDE w:val="0"/>
        <w:autoSpaceDN w:val="0"/>
        <w:adjustRightInd w:val="0"/>
        <w:ind w:left="567" w:right="567"/>
        <w:jc w:val="both"/>
        <w:rPr>
          <w:rFonts w:ascii="Arial" w:hAnsi="Arial" w:cs="Arial"/>
          <w:i/>
          <w:sz w:val="18"/>
          <w:szCs w:val="18"/>
        </w:rPr>
      </w:pPr>
    </w:p>
    <w:p w14:paraId="029F8750" w14:textId="77777777" w:rsidR="00B4250A" w:rsidRDefault="00B4250A" w:rsidP="00B4250A">
      <w:pPr>
        <w:tabs>
          <w:tab w:val="left" w:pos="8789"/>
        </w:tabs>
        <w:autoSpaceDE w:val="0"/>
        <w:autoSpaceDN w:val="0"/>
        <w:adjustRightInd w:val="0"/>
        <w:ind w:left="567" w:right="567"/>
        <w:jc w:val="both"/>
        <w:rPr>
          <w:rFonts w:ascii="Arial" w:hAnsi="Arial" w:cs="Arial"/>
          <w:i/>
          <w:sz w:val="18"/>
          <w:szCs w:val="18"/>
        </w:rPr>
      </w:pPr>
    </w:p>
    <w:p w14:paraId="3D16B4B8" w14:textId="77777777" w:rsidR="00B4250A" w:rsidRDefault="00B4250A" w:rsidP="004B1D35">
      <w:pPr>
        <w:pStyle w:val="Prrafodelista"/>
        <w:numPr>
          <w:ilvl w:val="0"/>
          <w:numId w:val="5"/>
        </w:numPr>
        <w:tabs>
          <w:tab w:val="left" w:pos="8789"/>
        </w:tabs>
        <w:autoSpaceDE w:val="0"/>
        <w:autoSpaceDN w:val="0"/>
        <w:adjustRightInd w:val="0"/>
        <w:spacing w:after="0"/>
        <w:ind w:right="567"/>
        <w:jc w:val="both"/>
        <w:rPr>
          <w:rFonts w:ascii="Arial" w:hAnsi="Arial" w:cs="Arial"/>
          <w:b/>
          <w:i/>
          <w:sz w:val="24"/>
          <w:szCs w:val="24"/>
        </w:rPr>
      </w:pPr>
      <w:r w:rsidRPr="0066561C">
        <w:rPr>
          <w:rFonts w:ascii="Arial" w:hAnsi="Arial" w:cs="Arial"/>
          <w:i/>
          <w:sz w:val="24"/>
          <w:szCs w:val="24"/>
        </w:rPr>
        <w:lastRenderedPageBreak/>
        <w:t xml:space="preserve">Por ello es que, consultamos respetablemente a este Órgano Electoral </w:t>
      </w:r>
      <w:r w:rsidRPr="0066561C">
        <w:rPr>
          <w:rFonts w:ascii="Arial" w:hAnsi="Arial" w:cs="Arial"/>
          <w:b/>
          <w:i/>
          <w:sz w:val="24"/>
          <w:szCs w:val="24"/>
        </w:rPr>
        <w:t>¿Si la anterior tabla de Ayuntamientos cumple con los lineamientos del acuerdo IEE/CG/A015/22020 (sic) del principio de paridad?</w:t>
      </w:r>
    </w:p>
    <w:p w14:paraId="2B1FDA94" w14:textId="77777777" w:rsidR="00B4250A" w:rsidRDefault="00B4250A" w:rsidP="004B1D35">
      <w:pPr>
        <w:tabs>
          <w:tab w:val="left" w:pos="8789"/>
        </w:tabs>
        <w:autoSpaceDE w:val="0"/>
        <w:autoSpaceDN w:val="0"/>
        <w:adjustRightInd w:val="0"/>
        <w:spacing w:line="360" w:lineRule="auto"/>
        <w:ind w:left="567" w:right="567"/>
        <w:jc w:val="both"/>
        <w:rPr>
          <w:rFonts w:ascii="Arial" w:hAnsi="Arial" w:cs="Arial"/>
          <w:i/>
          <w:sz w:val="22"/>
          <w:szCs w:val="22"/>
        </w:rPr>
      </w:pPr>
    </w:p>
    <w:p w14:paraId="0011212F" w14:textId="77777777" w:rsidR="00B4250A" w:rsidRPr="00E65B65" w:rsidRDefault="00B4250A" w:rsidP="004B1D35">
      <w:pPr>
        <w:pStyle w:val="Prrafodelista"/>
        <w:numPr>
          <w:ilvl w:val="0"/>
          <w:numId w:val="1"/>
        </w:numPr>
        <w:tabs>
          <w:tab w:val="left" w:pos="0"/>
        </w:tabs>
        <w:spacing w:after="0" w:line="360" w:lineRule="auto"/>
        <w:ind w:left="0" w:firstLine="0"/>
        <w:contextualSpacing/>
        <w:jc w:val="both"/>
        <w:rPr>
          <w:rFonts w:ascii="Arial" w:hAnsi="Arial" w:cs="Arial"/>
          <w:i/>
        </w:rPr>
      </w:pPr>
      <w:r w:rsidRPr="000F4664">
        <w:rPr>
          <w:rFonts w:ascii="Arial" w:hAnsi="Arial" w:cs="Arial"/>
        </w:rPr>
        <w:t xml:space="preserve">Con fecha </w:t>
      </w:r>
      <w:r>
        <w:rPr>
          <w:rFonts w:ascii="Arial" w:hAnsi="Arial" w:cs="Arial"/>
        </w:rPr>
        <w:t xml:space="preserve">09 </w:t>
      </w:r>
      <w:r w:rsidRPr="000C48A8">
        <w:rPr>
          <w:rFonts w:ascii="Arial" w:hAnsi="Arial" w:cs="Arial"/>
        </w:rPr>
        <w:t>de febrero de 2021, la Presidenta de la Comisión de Asuntos Jurídicos mediante oficio IEE/CAJ-10/2021 convocó a la Cuarta Sesión Extraordinaria de la referida Comisión y a la Comisión de Equidad</w:t>
      </w:r>
      <w:r w:rsidRPr="000F4664">
        <w:rPr>
          <w:rFonts w:ascii="Arial" w:hAnsi="Arial" w:cs="Arial"/>
        </w:rPr>
        <w:t xml:space="preserve"> Paridad y Perspectiva de Género del Instituto Electoral del Estado, para actuar en </w:t>
      </w:r>
      <w:r w:rsidRPr="00DC72D7">
        <w:rPr>
          <w:rFonts w:ascii="Arial" w:hAnsi="Arial" w:cs="Arial"/>
        </w:rPr>
        <w:t xml:space="preserve">Comisiones Unidas, </w:t>
      </w:r>
      <w:r w:rsidRPr="000F4664">
        <w:rPr>
          <w:rFonts w:ascii="Arial" w:hAnsi="Arial" w:cs="Arial"/>
        </w:rPr>
        <w:t>de conformidad con el artículo 27 del Reglamento de Comisiones del Instituto Electoral del Estado de Colima, a fin de presentar, analizar, discutir y aprobar, en su caso, el desahogo de la consulta que por escrito y con fundamento en el artículo 114, fracción X, del Código Electoral del Estado, form</w:t>
      </w:r>
      <w:r>
        <w:rPr>
          <w:rFonts w:ascii="Arial" w:hAnsi="Arial" w:cs="Arial"/>
        </w:rPr>
        <w:t xml:space="preserve">uló el Partido Político MORENA. </w:t>
      </w:r>
    </w:p>
    <w:p w14:paraId="2C32AB24" w14:textId="77777777" w:rsidR="00E65B65" w:rsidRPr="0066561C" w:rsidRDefault="00E65B65" w:rsidP="004B1D35">
      <w:pPr>
        <w:pStyle w:val="Prrafodelista"/>
        <w:tabs>
          <w:tab w:val="left" w:pos="0"/>
        </w:tabs>
        <w:spacing w:after="0" w:line="360" w:lineRule="auto"/>
        <w:ind w:left="0"/>
        <w:contextualSpacing/>
        <w:jc w:val="both"/>
        <w:rPr>
          <w:rFonts w:ascii="Arial" w:hAnsi="Arial" w:cs="Arial"/>
          <w:i/>
        </w:rPr>
      </w:pPr>
    </w:p>
    <w:p w14:paraId="2EDC5E38" w14:textId="77777777" w:rsidR="00E65B65" w:rsidRPr="00FE4388" w:rsidRDefault="00E65B65" w:rsidP="004B1D35">
      <w:pPr>
        <w:pStyle w:val="Prrafodelista"/>
        <w:numPr>
          <w:ilvl w:val="0"/>
          <w:numId w:val="1"/>
        </w:numPr>
        <w:tabs>
          <w:tab w:val="left" w:pos="0"/>
        </w:tabs>
        <w:spacing w:after="0" w:line="360" w:lineRule="auto"/>
        <w:ind w:left="0" w:firstLine="0"/>
        <w:contextualSpacing/>
        <w:jc w:val="both"/>
        <w:rPr>
          <w:rFonts w:ascii="Arial" w:hAnsi="Arial" w:cs="Arial"/>
          <w:i/>
        </w:rPr>
      </w:pPr>
      <w:r>
        <w:rPr>
          <w:rFonts w:ascii="Arial" w:hAnsi="Arial" w:cs="Arial"/>
        </w:rPr>
        <w:t xml:space="preserve">El día 12 de febrero </w:t>
      </w:r>
      <w:r w:rsidRPr="00FE4388">
        <w:rPr>
          <w:rFonts w:ascii="Arial" w:hAnsi="Arial" w:cs="Arial"/>
        </w:rPr>
        <w:t xml:space="preserve">de 2021, se llevó a cabo la </w:t>
      </w:r>
      <w:r>
        <w:rPr>
          <w:rFonts w:ascii="Arial" w:hAnsi="Arial" w:cs="Arial"/>
        </w:rPr>
        <w:t>Cuarta</w:t>
      </w:r>
      <w:r w:rsidRPr="00FE4388">
        <w:rPr>
          <w:rFonts w:ascii="Arial" w:hAnsi="Arial" w:cs="Arial"/>
        </w:rPr>
        <w:t xml:space="preserve"> Sesión </w:t>
      </w:r>
      <w:r>
        <w:rPr>
          <w:rFonts w:ascii="Arial" w:hAnsi="Arial" w:cs="Arial"/>
        </w:rPr>
        <w:t>Extraordinaria</w:t>
      </w:r>
      <w:r w:rsidRPr="00FE4388">
        <w:rPr>
          <w:rFonts w:ascii="Arial" w:hAnsi="Arial" w:cs="Arial"/>
        </w:rPr>
        <w:t xml:space="preserve"> del año 2021 de la Comisión de Asuntos Jurídicos, en donde se desahogaron entre otros puntos, el referente a la presentación, análisis, discusión y aprobación, en su caso, </w:t>
      </w:r>
      <w:r w:rsidRPr="00FE4388">
        <w:rPr>
          <w:rFonts w:ascii="Arial" w:eastAsia="Calibri" w:hAnsi="Arial" w:cs="Arial"/>
        </w:rPr>
        <w:t xml:space="preserve">proyecto de acuerdo </w:t>
      </w:r>
      <w:r w:rsidRPr="00FE4388">
        <w:rPr>
          <w:rFonts w:ascii="Arial" w:eastAsia="Calibri" w:hAnsi="Arial" w:cs="Arial"/>
          <w:bCs/>
          <w:shd w:val="clear" w:color="auto" w:fill="FFFFFF"/>
        </w:rPr>
        <w:t>relativo al </w:t>
      </w:r>
      <w:r w:rsidRPr="00FE4388">
        <w:rPr>
          <w:rFonts w:ascii="Arial" w:eastAsia="Calibri" w:hAnsi="Arial" w:cs="Arial"/>
        </w:rPr>
        <w:t xml:space="preserve">desahogo de la consulta que por escrito y con fundamento en el artículo 114, fracción X, del Código Electoral del Estado, formuló al Consejo General </w:t>
      </w:r>
      <w:r>
        <w:rPr>
          <w:rFonts w:ascii="Arial" w:eastAsia="Calibri" w:hAnsi="Arial" w:cs="Arial"/>
        </w:rPr>
        <w:t>el partido MORENA</w:t>
      </w:r>
      <w:r w:rsidRPr="00FE4388">
        <w:rPr>
          <w:rFonts w:ascii="Arial" w:hAnsi="Arial" w:cs="Arial"/>
        </w:rPr>
        <w:t>.</w:t>
      </w:r>
    </w:p>
    <w:p w14:paraId="57175F29" w14:textId="77777777" w:rsidR="00E65B65" w:rsidRPr="0083756E" w:rsidRDefault="00E65B65" w:rsidP="004B1D35">
      <w:pPr>
        <w:tabs>
          <w:tab w:val="left" w:pos="284"/>
        </w:tabs>
        <w:spacing w:line="360" w:lineRule="auto"/>
        <w:contextualSpacing/>
        <w:jc w:val="both"/>
        <w:rPr>
          <w:rFonts w:ascii="Arial" w:eastAsia="Calibri" w:hAnsi="Arial" w:cs="Arial"/>
          <w:sz w:val="22"/>
          <w:szCs w:val="22"/>
          <w:lang w:val="es-MX" w:eastAsia="en-US"/>
        </w:rPr>
      </w:pPr>
    </w:p>
    <w:p w14:paraId="36AA9969" w14:textId="77777777" w:rsidR="00E65B65" w:rsidRPr="0083756E" w:rsidRDefault="00E65B65" w:rsidP="004B1D35">
      <w:pPr>
        <w:tabs>
          <w:tab w:val="left" w:pos="284"/>
        </w:tabs>
        <w:spacing w:line="360" w:lineRule="auto"/>
        <w:contextualSpacing/>
        <w:jc w:val="both"/>
        <w:rPr>
          <w:rFonts w:ascii="Arial" w:eastAsia="Calibri" w:hAnsi="Arial" w:cs="Arial"/>
          <w:sz w:val="22"/>
          <w:szCs w:val="22"/>
          <w:lang w:val="es-MX" w:eastAsia="en-US"/>
        </w:rPr>
      </w:pPr>
      <w:r w:rsidRPr="0083756E">
        <w:rPr>
          <w:rFonts w:ascii="Arial" w:eastAsia="Calibri" w:hAnsi="Arial" w:cs="Arial"/>
          <w:sz w:val="22"/>
          <w:szCs w:val="22"/>
          <w:lang w:val="es-MX" w:eastAsia="en-US"/>
        </w:rPr>
        <w:t>Una vez hecho lo anterior, mediante oficio IEE/CAJ-</w:t>
      </w:r>
      <w:r>
        <w:rPr>
          <w:rFonts w:ascii="Arial" w:eastAsia="Calibri" w:hAnsi="Arial" w:cs="Arial"/>
          <w:sz w:val="22"/>
          <w:szCs w:val="22"/>
          <w:lang w:val="es-MX" w:eastAsia="en-US"/>
        </w:rPr>
        <w:t>11/2021</w:t>
      </w:r>
      <w:r w:rsidRPr="0083756E">
        <w:rPr>
          <w:rFonts w:ascii="Arial" w:eastAsia="Calibri" w:hAnsi="Arial" w:cs="Arial"/>
          <w:sz w:val="22"/>
          <w:szCs w:val="22"/>
          <w:lang w:val="es-MX" w:eastAsia="en-US"/>
        </w:rPr>
        <w:t>, de fecha</w:t>
      </w:r>
      <w:r>
        <w:rPr>
          <w:rFonts w:ascii="Arial" w:eastAsia="Calibri" w:hAnsi="Arial" w:cs="Arial"/>
          <w:sz w:val="22"/>
          <w:szCs w:val="22"/>
          <w:lang w:val="es-MX" w:eastAsia="en-US"/>
        </w:rPr>
        <w:t xml:space="preserve"> 12 de febrero </w:t>
      </w:r>
      <w:r w:rsidRPr="0083756E">
        <w:rPr>
          <w:rFonts w:ascii="Arial" w:eastAsia="Calibri" w:hAnsi="Arial" w:cs="Arial"/>
          <w:sz w:val="22"/>
          <w:szCs w:val="22"/>
          <w:lang w:val="es-MX" w:eastAsia="en-US"/>
        </w:rPr>
        <w:t xml:space="preserve">del año en curso, la Consejera Presidenta de dicha Comisión, remitió al Secretario Ejecutivo del Consejo General de este Instituto, la Consulta en cuestión, </w:t>
      </w:r>
      <w:r>
        <w:rPr>
          <w:rFonts w:ascii="Arial" w:eastAsia="Calibri" w:hAnsi="Arial" w:cs="Arial"/>
          <w:sz w:val="22"/>
          <w:szCs w:val="22"/>
          <w:lang w:val="es-MX" w:eastAsia="en-US"/>
        </w:rPr>
        <w:t>solicitándol</w:t>
      </w:r>
      <w:r w:rsidRPr="00C058CB">
        <w:rPr>
          <w:rFonts w:ascii="Arial" w:eastAsia="Calibri" w:hAnsi="Arial" w:cs="Arial"/>
          <w:sz w:val="22"/>
          <w:szCs w:val="22"/>
          <w:lang w:val="es-MX" w:eastAsia="en-US"/>
        </w:rPr>
        <w:t xml:space="preserve">e a su vez su incorporación en el orden del día de los puntos a tratarse en la </w:t>
      </w:r>
      <w:r>
        <w:rPr>
          <w:rFonts w:ascii="Arial" w:eastAsia="Calibri" w:hAnsi="Arial" w:cs="Arial"/>
          <w:sz w:val="22"/>
          <w:szCs w:val="22"/>
          <w:lang w:val="es-MX" w:eastAsia="en-US"/>
        </w:rPr>
        <w:t xml:space="preserve">próxima </w:t>
      </w:r>
      <w:r w:rsidRPr="00C058CB">
        <w:rPr>
          <w:rFonts w:ascii="Arial" w:eastAsia="Calibri" w:hAnsi="Arial" w:cs="Arial"/>
          <w:sz w:val="22"/>
          <w:szCs w:val="22"/>
          <w:lang w:val="es-MX" w:eastAsia="en-US"/>
        </w:rPr>
        <w:t>sesión del Consejo General</w:t>
      </w:r>
      <w:r w:rsidRPr="0083756E">
        <w:rPr>
          <w:rFonts w:ascii="Arial" w:eastAsia="Calibri" w:hAnsi="Arial" w:cs="Arial"/>
          <w:sz w:val="22"/>
          <w:szCs w:val="22"/>
          <w:lang w:val="es-MX" w:eastAsia="en-US"/>
        </w:rPr>
        <w:t>.</w:t>
      </w:r>
    </w:p>
    <w:p w14:paraId="49CC321A" w14:textId="77777777" w:rsidR="00E65B65" w:rsidRPr="0083756E" w:rsidRDefault="00E65B65" w:rsidP="00E65B65">
      <w:pPr>
        <w:spacing w:line="360" w:lineRule="auto"/>
        <w:ind w:left="720"/>
        <w:contextualSpacing/>
        <w:rPr>
          <w:rFonts w:ascii="Arial" w:eastAsia="Calibri" w:hAnsi="Arial" w:cs="Arial"/>
          <w:sz w:val="22"/>
          <w:szCs w:val="22"/>
          <w:lang w:val="es-MX" w:eastAsia="en-US"/>
        </w:rPr>
      </w:pPr>
    </w:p>
    <w:p w14:paraId="39AAEAEF" w14:textId="77777777" w:rsidR="00E65B65" w:rsidRPr="0083756E" w:rsidRDefault="00E65B65" w:rsidP="00E65B65">
      <w:pPr>
        <w:autoSpaceDE w:val="0"/>
        <w:autoSpaceDN w:val="0"/>
        <w:adjustRightInd w:val="0"/>
        <w:spacing w:line="360" w:lineRule="auto"/>
        <w:ind w:right="618"/>
        <w:jc w:val="both"/>
        <w:rPr>
          <w:rFonts w:ascii="Arial" w:eastAsia="Calibri" w:hAnsi="Arial" w:cs="Arial"/>
          <w:sz w:val="22"/>
          <w:szCs w:val="22"/>
          <w:lang w:val="es-MX" w:eastAsia="en-US"/>
        </w:rPr>
      </w:pPr>
      <w:r w:rsidRPr="0083756E">
        <w:rPr>
          <w:rFonts w:ascii="Arial" w:eastAsia="Calibri" w:hAnsi="Arial" w:cs="Arial"/>
          <w:sz w:val="22"/>
          <w:szCs w:val="22"/>
          <w:lang w:val="es-MX" w:eastAsia="en-US"/>
        </w:rPr>
        <w:t>Con base a lo anterior, se emiten las siguientes:</w:t>
      </w:r>
    </w:p>
    <w:p w14:paraId="3FC4B5C9" w14:textId="77777777" w:rsidR="00B4250A" w:rsidRDefault="00B4250A" w:rsidP="004B1D35">
      <w:pPr>
        <w:autoSpaceDE w:val="0"/>
        <w:autoSpaceDN w:val="0"/>
        <w:adjustRightInd w:val="0"/>
        <w:spacing w:line="360" w:lineRule="auto"/>
        <w:ind w:right="618"/>
        <w:rPr>
          <w:rFonts w:ascii="Arial" w:eastAsia="Calibri" w:hAnsi="Arial" w:cs="Arial"/>
          <w:b/>
          <w:sz w:val="22"/>
          <w:szCs w:val="22"/>
          <w:lang w:val="es-MX" w:eastAsia="en-US"/>
        </w:rPr>
      </w:pPr>
    </w:p>
    <w:p w14:paraId="787EB68F" w14:textId="77777777" w:rsidR="00B4250A" w:rsidRPr="008D6473" w:rsidRDefault="00B4250A" w:rsidP="00B4250A">
      <w:pPr>
        <w:autoSpaceDE w:val="0"/>
        <w:autoSpaceDN w:val="0"/>
        <w:adjustRightInd w:val="0"/>
        <w:spacing w:line="360" w:lineRule="auto"/>
        <w:ind w:right="618"/>
        <w:jc w:val="center"/>
        <w:rPr>
          <w:rFonts w:ascii="Arial" w:eastAsia="Calibri" w:hAnsi="Arial" w:cs="Arial"/>
          <w:b/>
          <w:sz w:val="22"/>
          <w:szCs w:val="22"/>
          <w:lang w:val="es-MX" w:eastAsia="en-US"/>
        </w:rPr>
      </w:pPr>
      <w:r w:rsidRPr="008D6473">
        <w:rPr>
          <w:rFonts w:ascii="Arial" w:eastAsia="Calibri" w:hAnsi="Arial" w:cs="Arial"/>
          <w:b/>
          <w:sz w:val="22"/>
          <w:szCs w:val="22"/>
          <w:lang w:val="es-MX" w:eastAsia="en-US"/>
        </w:rPr>
        <w:t>C O N S I D E R A C I O N E S</w:t>
      </w:r>
    </w:p>
    <w:p w14:paraId="302E8449" w14:textId="77777777" w:rsidR="00B4250A" w:rsidRPr="008D6473" w:rsidRDefault="00B4250A" w:rsidP="00B4250A">
      <w:pPr>
        <w:autoSpaceDE w:val="0"/>
        <w:autoSpaceDN w:val="0"/>
        <w:adjustRightInd w:val="0"/>
        <w:spacing w:line="360" w:lineRule="auto"/>
        <w:ind w:right="618"/>
        <w:jc w:val="center"/>
        <w:rPr>
          <w:rFonts w:ascii="Arial" w:eastAsia="Calibri" w:hAnsi="Arial" w:cs="Arial"/>
          <w:i/>
          <w:sz w:val="22"/>
          <w:szCs w:val="22"/>
          <w:lang w:val="es-MX" w:eastAsia="en-US"/>
        </w:rPr>
      </w:pPr>
    </w:p>
    <w:p w14:paraId="0395B393" w14:textId="77777777" w:rsidR="00B4250A" w:rsidRPr="00B4319C" w:rsidRDefault="00B4250A" w:rsidP="00B4250A">
      <w:pPr>
        <w:autoSpaceDE w:val="0"/>
        <w:autoSpaceDN w:val="0"/>
        <w:adjustRightInd w:val="0"/>
        <w:spacing w:line="360" w:lineRule="auto"/>
        <w:jc w:val="both"/>
        <w:rPr>
          <w:rFonts w:ascii="Arial" w:eastAsia="Calibri" w:hAnsi="Arial" w:cs="Arial"/>
          <w:sz w:val="22"/>
          <w:szCs w:val="22"/>
        </w:rPr>
      </w:pPr>
      <w:r w:rsidRPr="00B4319C">
        <w:rPr>
          <w:rFonts w:ascii="Arial" w:eastAsia="Calibri" w:hAnsi="Arial" w:cs="Arial"/>
          <w:b/>
          <w:sz w:val="22"/>
          <w:szCs w:val="22"/>
        </w:rPr>
        <w:t xml:space="preserve">1ª.- </w:t>
      </w:r>
      <w:r w:rsidRPr="00B4319C">
        <w:rPr>
          <w:rFonts w:ascii="Arial" w:eastAsia="Calibri" w:hAnsi="Arial" w:cs="Arial"/>
          <w:sz w:val="22"/>
          <w:szCs w:val="22"/>
        </w:rPr>
        <w:t xml:space="preserve">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w:t>
      </w:r>
      <w:r w:rsidRPr="00B4319C">
        <w:rPr>
          <w:rFonts w:ascii="Arial" w:eastAsia="Calibri" w:hAnsi="Arial" w:cs="Arial"/>
          <w:sz w:val="22"/>
          <w:szCs w:val="22"/>
        </w:rPr>
        <w:lastRenderedPageBreak/>
        <w:t>jurisdiccionales que resuelvan las controversias en la materia, gocen de autonomía en su funcionamiento e independencia en sus decisiones.</w:t>
      </w:r>
    </w:p>
    <w:p w14:paraId="2116B3B8" w14:textId="77777777" w:rsidR="00B4250A" w:rsidRDefault="00B4250A" w:rsidP="00B4250A">
      <w:pPr>
        <w:spacing w:line="360" w:lineRule="auto"/>
        <w:jc w:val="both"/>
        <w:rPr>
          <w:rFonts w:ascii="Arial" w:hAnsi="Arial" w:cs="Arial"/>
          <w:b/>
          <w:bCs/>
          <w:sz w:val="22"/>
          <w:szCs w:val="22"/>
        </w:rPr>
      </w:pPr>
    </w:p>
    <w:p w14:paraId="7EF95ED9" w14:textId="77777777" w:rsidR="00B4250A" w:rsidRDefault="00B4250A" w:rsidP="00B4250A">
      <w:pPr>
        <w:autoSpaceDE w:val="0"/>
        <w:autoSpaceDN w:val="0"/>
        <w:adjustRightInd w:val="0"/>
        <w:spacing w:line="360" w:lineRule="auto"/>
        <w:jc w:val="both"/>
        <w:rPr>
          <w:rFonts w:ascii="Arial" w:eastAsia="Arial" w:hAnsi="Arial" w:cs="Arial"/>
          <w:sz w:val="22"/>
          <w:szCs w:val="22"/>
        </w:rPr>
      </w:pPr>
      <w:r w:rsidRPr="00B4319C">
        <w:rPr>
          <w:rFonts w:ascii="Arial" w:eastAsia="Calibri" w:hAnsi="Arial" w:cs="Arial"/>
          <w:b/>
          <w:sz w:val="22"/>
          <w:szCs w:val="22"/>
        </w:rPr>
        <w:t>2ª.-</w:t>
      </w:r>
      <w:r w:rsidRPr="00B4319C">
        <w:rPr>
          <w:rFonts w:ascii="Arial" w:eastAsia="Calibri" w:hAnsi="Arial" w:cs="Arial"/>
          <w:sz w:val="22"/>
          <w:szCs w:val="22"/>
        </w:rPr>
        <w:t xml:space="preserve"> </w:t>
      </w:r>
      <w:r w:rsidRPr="00B4319C">
        <w:rPr>
          <w:rFonts w:ascii="Arial" w:eastAsia="Arial" w:hAnsi="Arial" w:cs="Arial"/>
          <w:sz w:val="22"/>
          <w:szCs w:val="22"/>
        </w:rPr>
        <w:t xml:space="preserve">De conformidad con lo dispuesto en los numerales 10 y 11, del Apartado C, de la Base V, del artículo 41 de la Carta Magna, </w:t>
      </w:r>
      <w:r>
        <w:rPr>
          <w:rFonts w:ascii="Arial" w:eastAsia="Arial" w:hAnsi="Arial" w:cs="Arial"/>
          <w:sz w:val="22"/>
          <w:szCs w:val="22"/>
        </w:rPr>
        <w:t>así como el numeral 2 del artículo 98</w:t>
      </w:r>
      <w:r w:rsidRPr="00B91B31">
        <w:rPr>
          <w:rFonts w:ascii="Arial" w:eastAsia="Arial" w:hAnsi="Arial" w:cs="Arial"/>
          <w:sz w:val="22"/>
          <w:szCs w:val="22"/>
        </w:rPr>
        <w:t xml:space="preserve"> d</w:t>
      </w:r>
      <w:r>
        <w:rPr>
          <w:rFonts w:ascii="Arial" w:eastAsia="Arial" w:hAnsi="Arial" w:cs="Arial"/>
          <w:sz w:val="22"/>
          <w:szCs w:val="22"/>
        </w:rPr>
        <w:t>e la Ley General de Instituciones y Procedimientos Electorales (LGIPE),</w:t>
      </w:r>
      <w:r w:rsidRPr="00B4319C">
        <w:rPr>
          <w:rFonts w:ascii="Arial" w:eastAsia="Arial" w:hAnsi="Arial" w:cs="Arial"/>
          <w:sz w:val="22"/>
          <w:szCs w:val="22"/>
        </w:rPr>
        <w:t xml:space="preserve"> refiere</w:t>
      </w:r>
      <w:r>
        <w:rPr>
          <w:rFonts w:ascii="Arial" w:eastAsia="Arial" w:hAnsi="Arial" w:cs="Arial"/>
          <w:sz w:val="22"/>
          <w:szCs w:val="22"/>
        </w:rPr>
        <w:t>n</w:t>
      </w:r>
      <w:r w:rsidRPr="00B4319C">
        <w:rPr>
          <w:rFonts w:ascii="Arial" w:eastAsia="Arial" w:hAnsi="Arial" w:cs="Arial"/>
          <w:sz w:val="22"/>
          <w:szCs w:val="22"/>
        </w:rPr>
        <w:t xml:space="preserve"> que en las entidades federativas, las elecciones estarán a cargo de Organismos Públicos Locales (OPLE)</w:t>
      </w:r>
      <w:r>
        <w:rPr>
          <w:rFonts w:ascii="Arial" w:eastAsia="Arial" w:hAnsi="Arial" w:cs="Arial"/>
          <w:sz w:val="22"/>
          <w:szCs w:val="22"/>
        </w:rPr>
        <w:t>, que son autoridad en materia electoral,</w:t>
      </w:r>
      <w:r w:rsidRPr="00B4319C">
        <w:rPr>
          <w:rFonts w:ascii="Arial" w:eastAsia="Arial" w:hAnsi="Arial" w:cs="Arial"/>
          <w:sz w:val="22"/>
          <w:szCs w:val="22"/>
        </w:rPr>
        <w:t xml:space="preserve"> en los términos de la propia Constitución Federal, </w:t>
      </w:r>
      <w:r>
        <w:rPr>
          <w:rFonts w:ascii="Arial" w:eastAsia="Arial" w:hAnsi="Arial" w:cs="Arial"/>
          <w:sz w:val="22"/>
          <w:szCs w:val="22"/>
        </w:rPr>
        <w:t>la</w:t>
      </w:r>
      <w:r w:rsidRPr="00B91B31">
        <w:rPr>
          <w:rFonts w:ascii="Arial" w:eastAsia="Arial" w:hAnsi="Arial" w:cs="Arial"/>
          <w:sz w:val="22"/>
          <w:szCs w:val="22"/>
        </w:rPr>
        <w:t xml:space="preserve"> LGIPE y las leyes locales correspondientes.</w:t>
      </w:r>
      <w:r>
        <w:rPr>
          <w:rFonts w:ascii="Arial" w:eastAsia="Arial" w:hAnsi="Arial" w:cs="Arial"/>
          <w:sz w:val="22"/>
          <w:szCs w:val="22"/>
        </w:rPr>
        <w:t xml:space="preserve"> </w:t>
      </w:r>
    </w:p>
    <w:p w14:paraId="3FB8B633" w14:textId="77777777" w:rsidR="00B4250A" w:rsidRDefault="00B4250A" w:rsidP="00B4250A">
      <w:pPr>
        <w:autoSpaceDE w:val="0"/>
        <w:autoSpaceDN w:val="0"/>
        <w:adjustRightInd w:val="0"/>
        <w:spacing w:line="360" w:lineRule="auto"/>
        <w:jc w:val="both"/>
        <w:rPr>
          <w:rFonts w:ascii="Arial" w:eastAsia="Arial" w:hAnsi="Arial" w:cs="Arial"/>
          <w:sz w:val="22"/>
          <w:szCs w:val="22"/>
        </w:rPr>
      </w:pPr>
    </w:p>
    <w:p w14:paraId="2C3296AC" w14:textId="77777777" w:rsidR="00B4250A" w:rsidRDefault="00B4250A" w:rsidP="00B4250A">
      <w:pPr>
        <w:autoSpaceDE w:val="0"/>
        <w:autoSpaceDN w:val="0"/>
        <w:adjustRightInd w:val="0"/>
        <w:spacing w:line="360" w:lineRule="auto"/>
        <w:jc w:val="both"/>
        <w:rPr>
          <w:rFonts w:ascii="Arial" w:eastAsia="Arial" w:hAnsi="Arial" w:cs="Arial"/>
          <w:sz w:val="22"/>
          <w:szCs w:val="22"/>
        </w:rPr>
      </w:pPr>
      <w:r>
        <w:rPr>
          <w:rFonts w:ascii="Arial" w:eastAsia="Arial" w:hAnsi="Arial" w:cs="Arial"/>
          <w:sz w:val="22"/>
          <w:szCs w:val="22"/>
        </w:rPr>
        <w:t>Además, y en relación a lo dispuesto en l</w:t>
      </w:r>
      <w:r w:rsidRPr="00B91B31">
        <w:rPr>
          <w:rFonts w:ascii="Arial" w:hAnsi="Arial" w:cs="Arial"/>
          <w:sz w:val="22"/>
          <w:szCs w:val="22"/>
          <w:shd w:val="clear" w:color="auto" w:fill="FFFFFF"/>
        </w:rPr>
        <w:t xml:space="preserve">os incisos a) y r), del artículo 104, de la LGIPE en cita, corresponde a los </w:t>
      </w:r>
      <w:r w:rsidRPr="00B91B31">
        <w:rPr>
          <w:rFonts w:ascii="Arial" w:eastAsia="Arial" w:hAnsi="Arial" w:cs="Arial"/>
          <w:sz w:val="22"/>
          <w:szCs w:val="22"/>
        </w:rPr>
        <w:t>OPLE</w:t>
      </w:r>
      <w:r w:rsidRPr="00B91B31">
        <w:rPr>
          <w:rFonts w:ascii="Arial" w:hAnsi="Arial" w:cs="Arial"/>
          <w:sz w:val="22"/>
          <w:szCs w:val="22"/>
          <w:shd w:val="clear" w:color="auto" w:fill="FFFFFF"/>
        </w:rPr>
        <w:t xml:space="preserve"> aplicar los lineamientos que emita el </w:t>
      </w:r>
      <w:r>
        <w:rPr>
          <w:rFonts w:ascii="Arial" w:eastAsia="Arial" w:hAnsi="Arial" w:cs="Arial"/>
          <w:sz w:val="22"/>
          <w:szCs w:val="22"/>
        </w:rPr>
        <w:t>INE</w:t>
      </w:r>
      <w:r w:rsidRPr="00B91B31">
        <w:rPr>
          <w:rFonts w:ascii="Arial" w:hAnsi="Arial" w:cs="Arial"/>
          <w:sz w:val="22"/>
          <w:szCs w:val="22"/>
          <w:shd w:val="clear" w:color="auto" w:fill="FFFFFF"/>
        </w:rPr>
        <w:t xml:space="preserve"> y ejercer aquellas funciones no reservadas al mismo, que se establezcan en la legislación local correspondiente</w:t>
      </w:r>
      <w:r>
        <w:rPr>
          <w:rFonts w:ascii="Arial" w:eastAsia="Arial" w:hAnsi="Arial" w:cs="Arial"/>
          <w:sz w:val="22"/>
          <w:szCs w:val="22"/>
        </w:rPr>
        <w:t>.</w:t>
      </w:r>
    </w:p>
    <w:p w14:paraId="2BCB1DA7" w14:textId="77777777" w:rsidR="00B4250A" w:rsidRDefault="00B4250A" w:rsidP="00B4250A">
      <w:pPr>
        <w:autoSpaceDE w:val="0"/>
        <w:autoSpaceDN w:val="0"/>
        <w:adjustRightInd w:val="0"/>
        <w:spacing w:line="360" w:lineRule="auto"/>
        <w:jc w:val="both"/>
        <w:rPr>
          <w:rFonts w:ascii="Arial" w:eastAsia="Arial" w:hAnsi="Arial" w:cs="Arial"/>
          <w:sz w:val="22"/>
          <w:szCs w:val="22"/>
        </w:rPr>
      </w:pPr>
    </w:p>
    <w:p w14:paraId="2A3D48FD" w14:textId="77777777" w:rsidR="00B4250A" w:rsidRPr="008C33D1" w:rsidRDefault="00B4250A" w:rsidP="00B4250A">
      <w:pPr>
        <w:autoSpaceDE w:val="0"/>
        <w:autoSpaceDN w:val="0"/>
        <w:adjustRightInd w:val="0"/>
        <w:spacing w:line="360" w:lineRule="auto"/>
        <w:jc w:val="both"/>
        <w:rPr>
          <w:rFonts w:ascii="Arial" w:eastAsia="Arial" w:hAnsi="Arial" w:cs="Arial"/>
          <w:sz w:val="22"/>
          <w:szCs w:val="22"/>
        </w:rPr>
      </w:pPr>
      <w:r w:rsidRPr="008C33D1">
        <w:rPr>
          <w:rFonts w:ascii="Arial" w:eastAsia="Arial" w:hAnsi="Arial" w:cs="Arial"/>
          <w:b/>
          <w:sz w:val="22"/>
          <w:szCs w:val="22"/>
        </w:rPr>
        <w:t>3</w:t>
      </w:r>
      <w:r w:rsidRPr="008C33D1">
        <w:rPr>
          <w:rFonts w:ascii="Arial" w:hAnsi="Arial" w:cs="Arial"/>
          <w:b/>
          <w:bCs/>
          <w:sz w:val="22"/>
          <w:szCs w:val="22"/>
        </w:rPr>
        <w:t>ª.</w:t>
      </w:r>
      <w:r w:rsidRPr="00B91B31">
        <w:rPr>
          <w:rFonts w:ascii="Arial" w:hAnsi="Arial" w:cs="Arial"/>
          <w:b/>
          <w:bCs/>
          <w:sz w:val="22"/>
          <w:szCs w:val="22"/>
        </w:rPr>
        <w:t>-</w:t>
      </w:r>
      <w:r w:rsidRPr="00B91B31">
        <w:rPr>
          <w:rFonts w:ascii="Arial" w:hAnsi="Arial" w:cs="Arial"/>
          <w:sz w:val="22"/>
          <w:szCs w:val="22"/>
        </w:rPr>
        <w:t xml:space="preserve"> De acuerdo con lo dispuesto por los artículos 41, Base V, de la </w:t>
      </w:r>
      <w:r w:rsidRPr="00B4319C">
        <w:rPr>
          <w:rFonts w:ascii="Arial" w:eastAsia="Calibri" w:hAnsi="Arial" w:cs="Arial"/>
          <w:sz w:val="22"/>
          <w:szCs w:val="22"/>
        </w:rPr>
        <w:t>Constitución Política de los Estados Unidos Mexicanos</w:t>
      </w:r>
      <w:r w:rsidRPr="00B91B31">
        <w:rPr>
          <w:rFonts w:ascii="Arial" w:hAnsi="Arial" w:cs="Arial"/>
          <w:sz w:val="22"/>
          <w:szCs w:val="22"/>
        </w:rPr>
        <w:t xml:space="preserve">; 89 de la Constitución Política del Estado Libre y Soberano de Colima; y 97 del Código Electoral del Estado de Colima, el Instituto Electoral del Estado es </w:t>
      </w:r>
      <w:r w:rsidRPr="00B91B3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91B31">
        <w:rPr>
          <w:rFonts w:ascii="Arial" w:hAnsi="Arial" w:cs="Arial"/>
          <w:sz w:val="22"/>
          <w:szCs w:val="22"/>
        </w:rPr>
        <w:t>profesional en su desempeño e independiente en sus decisiones y funcionamiento.</w:t>
      </w:r>
    </w:p>
    <w:p w14:paraId="0C25EA08" w14:textId="77777777" w:rsidR="00B4250A" w:rsidRDefault="00B4250A" w:rsidP="00B4250A">
      <w:pPr>
        <w:autoSpaceDE w:val="0"/>
        <w:autoSpaceDN w:val="0"/>
        <w:adjustRightInd w:val="0"/>
        <w:spacing w:line="360" w:lineRule="auto"/>
        <w:jc w:val="both"/>
        <w:rPr>
          <w:rFonts w:ascii="Arial" w:hAnsi="Arial" w:cs="Arial"/>
          <w:b/>
          <w:bCs/>
          <w:sz w:val="22"/>
          <w:szCs w:val="22"/>
        </w:rPr>
      </w:pPr>
    </w:p>
    <w:p w14:paraId="258FD966" w14:textId="77777777" w:rsidR="00B4250A" w:rsidRPr="00B91B31" w:rsidRDefault="00B4250A" w:rsidP="00B4250A">
      <w:pPr>
        <w:autoSpaceDE w:val="0"/>
        <w:autoSpaceDN w:val="0"/>
        <w:adjustRightInd w:val="0"/>
        <w:spacing w:line="360" w:lineRule="auto"/>
        <w:jc w:val="both"/>
        <w:rPr>
          <w:rFonts w:ascii="Arial" w:eastAsia="Arial" w:hAnsi="Arial" w:cs="Arial"/>
          <w:sz w:val="22"/>
          <w:szCs w:val="22"/>
        </w:rPr>
      </w:pPr>
      <w:r>
        <w:rPr>
          <w:rFonts w:ascii="Arial" w:hAnsi="Arial" w:cs="Arial"/>
          <w:b/>
          <w:bCs/>
          <w:sz w:val="22"/>
          <w:szCs w:val="22"/>
        </w:rPr>
        <w:t>4</w:t>
      </w:r>
      <w:r w:rsidRPr="00B91B31">
        <w:rPr>
          <w:rFonts w:ascii="Arial" w:hAnsi="Arial" w:cs="Arial"/>
          <w:b/>
          <w:bCs/>
          <w:sz w:val="22"/>
          <w:szCs w:val="22"/>
        </w:rPr>
        <w:t xml:space="preserve">ª.- </w:t>
      </w:r>
      <w:r w:rsidRPr="00B91B31">
        <w:rPr>
          <w:rFonts w:ascii="Arial" w:hAnsi="Arial" w:cs="Arial"/>
          <w:sz w:val="22"/>
          <w:szCs w:val="22"/>
        </w:rPr>
        <w:t>Que</w:t>
      </w:r>
      <w:r w:rsidRPr="00B91B31">
        <w:rPr>
          <w:rFonts w:ascii="Arial" w:hAnsi="Arial" w:cs="Arial"/>
          <w:b/>
          <w:bCs/>
          <w:sz w:val="22"/>
          <w:szCs w:val="22"/>
        </w:rPr>
        <w:t xml:space="preserve"> </w:t>
      </w:r>
      <w:r w:rsidRPr="00B91B31">
        <w:rPr>
          <w:rFonts w:ascii="Arial" w:eastAsia="Arial" w:hAnsi="Arial" w:cs="Arial"/>
          <w:sz w:val="22"/>
          <w:szCs w:val="22"/>
        </w:rPr>
        <w:t>el inciso b), fracción IV del artículo 116 de la propia Constitución Federal; el numeral 1 del artículo 98 de la LGIPE; así como el referido artículo 89 de la Constitución Local y sus correlativos 4, párrafo segundo y 100</w:t>
      </w:r>
      <w:r>
        <w:rPr>
          <w:rFonts w:ascii="Arial" w:eastAsia="Arial" w:hAnsi="Arial" w:cs="Arial"/>
          <w:sz w:val="22"/>
          <w:szCs w:val="22"/>
        </w:rPr>
        <w:t>, ambos</w:t>
      </w:r>
      <w:r w:rsidRPr="00B91B31">
        <w:rPr>
          <w:rFonts w:ascii="Arial" w:eastAsia="Arial" w:hAnsi="Arial" w:cs="Arial"/>
          <w:sz w:val="22"/>
          <w:szCs w:val="22"/>
        </w:rPr>
        <w:t xml:space="preserve"> del Código Electoral, establecen que la </w:t>
      </w:r>
      <w:r w:rsidRPr="00B91B31">
        <w:rPr>
          <w:rFonts w:ascii="Arial" w:hAnsi="Arial" w:cs="Arial"/>
          <w:sz w:val="22"/>
          <w:szCs w:val="22"/>
        </w:rPr>
        <w:t xml:space="preserve">certeza, imparcialidad, independencia, legalidad, objetividad, máxima publicidad </w:t>
      </w:r>
      <w:r w:rsidRPr="00B91B31">
        <w:rPr>
          <w:rFonts w:ascii="Arial" w:hAnsi="Arial" w:cs="Arial"/>
          <w:bCs/>
          <w:sz w:val="22"/>
          <w:szCs w:val="22"/>
        </w:rPr>
        <w:t>y paridad,</w:t>
      </w:r>
      <w:r w:rsidRPr="00B91B31">
        <w:rPr>
          <w:rFonts w:ascii="Arial" w:hAnsi="Arial" w:cs="Arial"/>
          <w:sz w:val="22"/>
          <w:szCs w:val="22"/>
        </w:rPr>
        <w:t xml:space="preserve"> </w:t>
      </w:r>
      <w:r w:rsidRPr="00B91B31">
        <w:rPr>
          <w:rFonts w:ascii="Arial" w:eastAsia="Arial" w:hAnsi="Arial" w:cs="Arial"/>
          <w:sz w:val="22"/>
          <w:szCs w:val="22"/>
        </w:rPr>
        <w:t>serán principios rectores del Instituto Electoral del Estado.</w:t>
      </w:r>
    </w:p>
    <w:p w14:paraId="1A93E324" w14:textId="77777777" w:rsidR="00B4250A" w:rsidRDefault="00B4250A" w:rsidP="00B4250A">
      <w:pPr>
        <w:spacing w:line="360" w:lineRule="auto"/>
        <w:jc w:val="both"/>
        <w:rPr>
          <w:rFonts w:ascii="Arial" w:eastAsia="Calibri" w:hAnsi="Arial" w:cs="Arial"/>
          <w:sz w:val="22"/>
          <w:szCs w:val="22"/>
        </w:rPr>
      </w:pPr>
    </w:p>
    <w:p w14:paraId="367DA1B0" w14:textId="77777777" w:rsidR="00B4250A" w:rsidRDefault="00B4250A" w:rsidP="00B4250A">
      <w:pPr>
        <w:autoSpaceDE w:val="0"/>
        <w:autoSpaceDN w:val="0"/>
        <w:adjustRightInd w:val="0"/>
        <w:spacing w:line="360" w:lineRule="auto"/>
        <w:jc w:val="both"/>
        <w:rPr>
          <w:rFonts w:ascii="Arial" w:eastAsia="Calibri" w:hAnsi="Arial" w:cs="Arial"/>
          <w:sz w:val="22"/>
          <w:szCs w:val="22"/>
          <w:lang w:val="es-ES_tradnl" w:eastAsia="en-US"/>
        </w:rPr>
      </w:pPr>
      <w:r w:rsidRPr="008C33D1">
        <w:rPr>
          <w:rFonts w:ascii="Arial" w:eastAsia="Calibri" w:hAnsi="Arial" w:cs="Arial"/>
          <w:b/>
          <w:sz w:val="22"/>
          <w:szCs w:val="22"/>
        </w:rPr>
        <w:t>5</w:t>
      </w:r>
      <w:r w:rsidRPr="00B91B31">
        <w:rPr>
          <w:rFonts w:ascii="Arial" w:hAnsi="Arial" w:cs="Arial"/>
          <w:b/>
          <w:bCs/>
          <w:sz w:val="22"/>
          <w:szCs w:val="22"/>
        </w:rPr>
        <w:t xml:space="preserve">ª.- </w:t>
      </w:r>
      <w:r w:rsidRPr="00B91B31">
        <w:rPr>
          <w:rFonts w:ascii="Arial" w:hAnsi="Arial" w:cs="Arial"/>
          <w:sz w:val="22"/>
          <w:szCs w:val="22"/>
        </w:rPr>
        <w:t xml:space="preserve">Por su parte, el </w:t>
      </w:r>
      <w:r w:rsidRPr="00B91B31">
        <w:rPr>
          <w:rFonts w:ascii="Arial" w:eastAsia="Calibri" w:hAnsi="Arial" w:cs="Arial"/>
          <w:sz w:val="22"/>
          <w:szCs w:val="22"/>
          <w:lang w:val="es-MX" w:eastAsia="en-US"/>
        </w:rPr>
        <w:t xml:space="preserve">artículo 99 del Código </w:t>
      </w:r>
      <w:r>
        <w:rPr>
          <w:rFonts w:ascii="Arial" w:eastAsia="Calibri" w:hAnsi="Arial" w:cs="Arial"/>
          <w:sz w:val="22"/>
          <w:szCs w:val="22"/>
          <w:lang w:val="es-MX" w:eastAsia="en-US"/>
        </w:rPr>
        <w:t>Electoral</w:t>
      </w:r>
      <w:r w:rsidRPr="00B91B31">
        <w:rPr>
          <w:rFonts w:ascii="Arial" w:eastAsia="Calibri" w:hAnsi="Arial" w:cs="Arial"/>
          <w:sz w:val="22"/>
          <w:szCs w:val="22"/>
          <w:lang w:val="es-MX" w:eastAsia="en-US"/>
        </w:rPr>
        <w:t>, establece que son fines del Instituto Electoral del Estado, p</w:t>
      </w:r>
      <w:r w:rsidRPr="00B91B31">
        <w:rPr>
          <w:rFonts w:ascii="Arial" w:eastAsia="Calibri" w:hAnsi="Arial" w:cs="Arial"/>
          <w:sz w:val="22"/>
          <w:szCs w:val="22"/>
          <w:lang w:val="es-ES_tradnl" w:eastAsia="en-US"/>
        </w:rPr>
        <w:t xml:space="preserve">reservar, fortalecer, promover y fomentar el desarrollo de la democracia en la </w:t>
      </w:r>
      <w:r>
        <w:rPr>
          <w:rFonts w:ascii="Arial" w:eastAsia="Calibri" w:hAnsi="Arial" w:cs="Arial"/>
          <w:sz w:val="22"/>
          <w:szCs w:val="22"/>
          <w:lang w:val="es-ES_tradnl" w:eastAsia="en-US"/>
        </w:rPr>
        <w:t>e</w:t>
      </w:r>
      <w:r w:rsidRPr="00B91B31">
        <w:rPr>
          <w:rFonts w:ascii="Arial" w:eastAsia="Calibri" w:hAnsi="Arial" w:cs="Arial"/>
          <w:sz w:val="22"/>
          <w:szCs w:val="22"/>
          <w:lang w:val="es-ES_tradnl" w:eastAsia="en-US"/>
        </w:rPr>
        <w:t xml:space="preserve">ntidad; preservar y fortalecer el régimen de partidos políticos; </w:t>
      </w:r>
      <w:r w:rsidRPr="00B91B31">
        <w:rPr>
          <w:rFonts w:ascii="Arial" w:eastAsia="Calibri" w:hAnsi="Arial" w:cs="Arial"/>
          <w:snapToGrid w:val="0"/>
          <w:sz w:val="22"/>
          <w:szCs w:val="22"/>
          <w:lang w:val="es-MX" w:eastAsia="en-US"/>
        </w:rPr>
        <w:t xml:space="preserve">garantizar a las y los </w:t>
      </w:r>
      <w:r w:rsidRPr="00B91B31">
        <w:rPr>
          <w:rFonts w:ascii="Arial" w:eastAsia="Calibri" w:hAnsi="Arial" w:cs="Arial"/>
          <w:snapToGrid w:val="0"/>
          <w:sz w:val="22"/>
          <w:szCs w:val="22"/>
          <w:lang w:val="es-MX" w:eastAsia="en-US"/>
        </w:rPr>
        <w:lastRenderedPageBreak/>
        <w:t xml:space="preserve">ciudadanos el ejercicio de los derechos político-electorales y vigilar el cumplimiento de sus obligaciones; organizar, desarrollar y vigilar la realización periódica y pacífica de las elecciones para renovar la titularidad del Poder Ejecutivo, a las y los integrantes del Poder Legislativo, de los </w:t>
      </w:r>
      <w:r>
        <w:rPr>
          <w:rFonts w:ascii="Arial" w:eastAsia="Calibri" w:hAnsi="Arial" w:cs="Arial"/>
          <w:snapToGrid w:val="0"/>
          <w:sz w:val="22"/>
          <w:szCs w:val="22"/>
          <w:lang w:val="es-MX" w:eastAsia="en-US"/>
        </w:rPr>
        <w:t>a</w:t>
      </w:r>
      <w:r w:rsidRPr="00B91B31">
        <w:rPr>
          <w:rFonts w:ascii="Arial" w:eastAsia="Calibri" w:hAnsi="Arial" w:cs="Arial"/>
          <w:snapToGrid w:val="0"/>
          <w:sz w:val="22"/>
          <w:szCs w:val="22"/>
          <w:lang w:val="es-MX" w:eastAsia="en-US"/>
        </w:rPr>
        <w:t xml:space="preserve">yuntamientos y, en su caso, calificarlas; velar por la autenticidad y efectividad del sufragio; y </w:t>
      </w:r>
      <w:r w:rsidRPr="00B91B31">
        <w:rPr>
          <w:rFonts w:ascii="Arial" w:eastAsia="Calibri" w:hAnsi="Arial" w:cs="Arial"/>
          <w:sz w:val="22"/>
          <w:szCs w:val="22"/>
          <w:lang w:val="es-ES_tradnl" w:eastAsia="en-US"/>
        </w:rPr>
        <w:t>coadyuvar en la promoción y difusión de la cultura cívica, política democrática.</w:t>
      </w:r>
    </w:p>
    <w:p w14:paraId="0CB0ACF7" w14:textId="77777777" w:rsidR="00B4250A" w:rsidRPr="008D6473" w:rsidRDefault="00B4250A" w:rsidP="00B4250A">
      <w:pPr>
        <w:spacing w:line="360" w:lineRule="auto"/>
        <w:jc w:val="both"/>
        <w:rPr>
          <w:rFonts w:ascii="Arial" w:eastAsia="Calibri" w:hAnsi="Arial" w:cs="Arial"/>
          <w:snapToGrid w:val="0"/>
          <w:sz w:val="22"/>
          <w:szCs w:val="22"/>
          <w:lang w:val="es-MX" w:eastAsia="en-US"/>
        </w:rPr>
      </w:pPr>
    </w:p>
    <w:p w14:paraId="70E832E7" w14:textId="77777777" w:rsidR="00B4250A" w:rsidRPr="008D6473" w:rsidRDefault="00B4250A" w:rsidP="00B4250A">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6</w:t>
      </w:r>
      <w:r w:rsidRPr="008D6473">
        <w:rPr>
          <w:rFonts w:ascii="Arial" w:eastAsia="Arial" w:hAnsi="Arial" w:cs="Arial"/>
          <w:b/>
          <w:spacing w:val="-1"/>
          <w:sz w:val="22"/>
          <w:szCs w:val="22"/>
          <w:lang w:val="es-MX" w:eastAsia="en-US"/>
        </w:rPr>
        <w:t>ª</w:t>
      </w:r>
      <w:r w:rsidRPr="008D6473">
        <w:rPr>
          <w:rFonts w:ascii="Arial" w:eastAsia="Calibri" w:hAnsi="Arial" w:cs="Arial"/>
          <w:b/>
          <w:sz w:val="22"/>
          <w:szCs w:val="22"/>
          <w:lang w:val="es-MX" w:eastAsia="en-US"/>
        </w:rPr>
        <w:t>.-</w:t>
      </w:r>
      <w:r w:rsidRPr="008D6473">
        <w:rPr>
          <w:rFonts w:ascii="Arial" w:eastAsia="Calibri" w:hAnsi="Arial" w:cs="Arial"/>
          <w:sz w:val="22"/>
          <w:szCs w:val="22"/>
          <w:lang w:val="es-MX" w:eastAsia="en-US"/>
        </w:rPr>
        <w:t xml:space="preserve"> De acuerdo a lo que establece el artículo 4º del Reglamento de Comisiones del Instituto Electoral del Estado, el Consejo General integrará Comisiones de acuerdo con lo que establece el artículo 112 del Código Electoral, para el desempeño de sus atribuciones y cumplimiento de sus fines, entre las cuales se encuentra la Comisión de Asuntos Jurídicos. De igual manera el artículo 2º del citado Reglamento establece que las Comisiones ejercerán las facultades que les confiera el Código Electoral del Estado de Colima, el Reglamento Interior del Instituto Electoral del Estado de Colima, los Reglamentos y Lineamientos específicos de su materia, así como los acuerdos y resoluciones del propio Consejo General del Instituto, además, el diverso artículo 5º del mencionado Reglamento faculta a las mismas a contribuir al d</w:t>
      </w:r>
      <w:r>
        <w:rPr>
          <w:rFonts w:ascii="Arial" w:eastAsia="Calibri" w:hAnsi="Arial" w:cs="Arial"/>
          <w:sz w:val="22"/>
          <w:szCs w:val="22"/>
          <w:lang w:val="es-MX" w:eastAsia="en-US"/>
        </w:rPr>
        <w:t>esempeño de las atribuciones del</w:t>
      </w:r>
      <w:r w:rsidRPr="008D6473">
        <w:rPr>
          <w:rFonts w:ascii="Arial" w:eastAsia="Calibri" w:hAnsi="Arial" w:cs="Arial"/>
          <w:sz w:val="22"/>
          <w:szCs w:val="22"/>
          <w:lang w:val="es-MX" w:eastAsia="en-US"/>
        </w:rPr>
        <w:t xml:space="preserve"> Consejo General. </w:t>
      </w:r>
    </w:p>
    <w:p w14:paraId="16F5CA72" w14:textId="77777777" w:rsidR="00B4250A" w:rsidRPr="008D6473" w:rsidRDefault="00B4250A" w:rsidP="00B4250A">
      <w:pPr>
        <w:spacing w:line="360" w:lineRule="auto"/>
        <w:jc w:val="both"/>
        <w:rPr>
          <w:rFonts w:ascii="Arial" w:eastAsia="Calibri" w:hAnsi="Arial" w:cs="Arial"/>
          <w:sz w:val="22"/>
          <w:szCs w:val="22"/>
          <w:lang w:val="es-MX" w:eastAsia="en-US"/>
        </w:rPr>
      </w:pPr>
    </w:p>
    <w:p w14:paraId="6E643B12" w14:textId="77777777" w:rsidR="00B4250A" w:rsidRPr="008D6473" w:rsidRDefault="00B4250A" w:rsidP="00B4250A">
      <w:pPr>
        <w:spacing w:line="360" w:lineRule="auto"/>
        <w:jc w:val="both"/>
        <w:rPr>
          <w:rFonts w:ascii="Arial" w:eastAsia="Calibri" w:hAnsi="Arial" w:cs="Arial"/>
          <w:i/>
          <w:sz w:val="22"/>
          <w:szCs w:val="22"/>
          <w:lang w:val="es-MX" w:eastAsia="en-US"/>
        </w:rPr>
      </w:pPr>
      <w:r w:rsidRPr="008D6473">
        <w:rPr>
          <w:rFonts w:ascii="Arial" w:eastAsia="Calibri" w:hAnsi="Arial" w:cs="Arial"/>
          <w:sz w:val="22"/>
          <w:szCs w:val="22"/>
          <w:lang w:val="es-MX" w:eastAsia="en-US"/>
        </w:rPr>
        <w:t>Así pues, con base en la interpretación sistemática con el arábigo 18, fracción III del citado Reglamento, es que se surte la competencia de la Comisión de Asuntos Jurídicos para atender y proyectar los acuerdos mediante los cuales se desahogan las consultas que formulen los partidos políticos y candidaturas independientes, acerca de los asuntos de la competencia del Consejo General, y someterlos al análisis, discusi</w:t>
      </w:r>
      <w:r>
        <w:rPr>
          <w:rFonts w:ascii="Arial" w:eastAsia="Calibri" w:hAnsi="Arial" w:cs="Arial"/>
          <w:sz w:val="22"/>
          <w:szCs w:val="22"/>
          <w:lang w:val="es-MX" w:eastAsia="en-US"/>
        </w:rPr>
        <w:t xml:space="preserve">ón y aprobación, en su caso, del </w:t>
      </w:r>
      <w:r w:rsidRPr="008D6473">
        <w:rPr>
          <w:rFonts w:ascii="Arial" w:eastAsia="Calibri" w:hAnsi="Arial" w:cs="Arial"/>
          <w:sz w:val="22"/>
          <w:szCs w:val="22"/>
          <w:lang w:val="es-MX" w:eastAsia="en-US"/>
        </w:rPr>
        <w:t>Órgano Superior de Dirección.</w:t>
      </w:r>
    </w:p>
    <w:p w14:paraId="163B2292" w14:textId="77777777" w:rsidR="00B4250A" w:rsidRPr="008D6473" w:rsidRDefault="00B4250A" w:rsidP="00B4250A">
      <w:pPr>
        <w:spacing w:line="360" w:lineRule="auto"/>
        <w:ind w:right="1467"/>
        <w:jc w:val="both"/>
        <w:rPr>
          <w:rFonts w:ascii="Arial" w:eastAsia="Calibri" w:hAnsi="Arial" w:cs="Arial"/>
          <w:b/>
          <w:i/>
          <w:sz w:val="22"/>
          <w:szCs w:val="22"/>
          <w:lang w:val="es-MX" w:eastAsia="en-US"/>
        </w:rPr>
      </w:pPr>
    </w:p>
    <w:p w14:paraId="75A9E66B" w14:textId="77777777" w:rsidR="00B4250A" w:rsidRPr="008D6473" w:rsidRDefault="00B4250A" w:rsidP="00B4250A">
      <w:pPr>
        <w:spacing w:line="360" w:lineRule="auto"/>
        <w:jc w:val="both"/>
        <w:rPr>
          <w:rFonts w:ascii="Arial" w:eastAsia="Calibri" w:hAnsi="Arial" w:cs="Arial"/>
          <w:snapToGrid w:val="0"/>
          <w:sz w:val="22"/>
          <w:szCs w:val="22"/>
          <w:lang w:val="es-MX" w:eastAsia="en-US"/>
        </w:rPr>
      </w:pPr>
      <w:r w:rsidRPr="008D6473">
        <w:rPr>
          <w:rFonts w:ascii="Arial" w:eastAsia="Calibri" w:hAnsi="Arial" w:cs="Arial"/>
          <w:sz w:val="22"/>
          <w:szCs w:val="22"/>
          <w:lang w:val="es-MX" w:eastAsia="en-US"/>
        </w:rPr>
        <w:t>Dicho lo anterior, el artículo 114, fracción X del Código de la materia, establece que l</w:t>
      </w:r>
      <w:r w:rsidRPr="008D6473">
        <w:rPr>
          <w:rFonts w:ascii="Arial" w:eastAsia="Calibri" w:hAnsi="Arial" w:cs="Arial"/>
          <w:bCs/>
          <w:sz w:val="22"/>
          <w:szCs w:val="22"/>
          <w:lang w:val="es-MX" w:eastAsia="en-US"/>
        </w:rPr>
        <w:t>e corresponde al Consejo General, entre otras, la siguiente atribución</w:t>
      </w:r>
      <w:r w:rsidRPr="008D6473">
        <w:rPr>
          <w:rFonts w:ascii="Arial" w:eastAsia="Calibri" w:hAnsi="Arial" w:cs="Arial"/>
          <w:sz w:val="22"/>
          <w:szCs w:val="22"/>
          <w:lang w:val="es-MX" w:eastAsia="en-US"/>
        </w:rPr>
        <w:t>:</w:t>
      </w:r>
      <w:r w:rsidRPr="008D6473">
        <w:rPr>
          <w:rFonts w:ascii="Arial" w:eastAsia="Calibri" w:hAnsi="Arial" w:cs="Arial"/>
          <w:i/>
          <w:sz w:val="22"/>
          <w:szCs w:val="22"/>
          <w:lang w:val="es-MX" w:eastAsia="en-US"/>
        </w:rPr>
        <w:t xml:space="preserve"> “</w:t>
      </w:r>
      <w:r w:rsidRPr="008D6473">
        <w:rPr>
          <w:rFonts w:ascii="Arial" w:eastAsia="Calibri" w:hAnsi="Arial" w:cs="Arial"/>
          <w:i/>
          <w:snapToGrid w:val="0"/>
          <w:sz w:val="22"/>
          <w:szCs w:val="22"/>
          <w:lang w:val="es-MX" w:eastAsia="en-US"/>
        </w:rPr>
        <w:t>Desahogar las consultas que le formulen los PARTIDOS POLÍTICOS y candidatos independientes, acerca de los asuntos de su competencia.”</w:t>
      </w:r>
    </w:p>
    <w:p w14:paraId="11F99D98" w14:textId="77777777" w:rsidR="00B4250A" w:rsidRPr="008D6473" w:rsidRDefault="00B4250A" w:rsidP="00B4250A">
      <w:pPr>
        <w:spacing w:line="360" w:lineRule="auto"/>
        <w:jc w:val="both"/>
        <w:rPr>
          <w:rFonts w:ascii="Arial" w:eastAsia="Calibri" w:hAnsi="Arial" w:cs="Arial"/>
          <w:sz w:val="22"/>
          <w:szCs w:val="22"/>
          <w:lang w:val="es-MX" w:eastAsia="en-US"/>
        </w:rPr>
      </w:pPr>
    </w:p>
    <w:p w14:paraId="301F9A79" w14:textId="77777777" w:rsidR="00B4250A" w:rsidRPr="00F231FB" w:rsidRDefault="00B4250A" w:rsidP="00B4250A">
      <w:pPr>
        <w:pStyle w:val="Sinespaciado"/>
        <w:spacing w:line="360" w:lineRule="auto"/>
        <w:jc w:val="both"/>
        <w:rPr>
          <w:rFonts w:ascii="Arial" w:hAnsi="Arial" w:cs="Arial"/>
          <w:sz w:val="22"/>
          <w:szCs w:val="22"/>
        </w:rPr>
      </w:pPr>
      <w:r w:rsidRPr="00F231FB">
        <w:rPr>
          <w:rFonts w:ascii="Arial" w:hAnsi="Arial" w:cs="Arial"/>
          <w:sz w:val="22"/>
          <w:szCs w:val="22"/>
        </w:rPr>
        <w:t xml:space="preserve">Por lo que, al tratar sobre la procedencia o no de la </w:t>
      </w:r>
      <w:r w:rsidRPr="00061BE6">
        <w:rPr>
          <w:rFonts w:ascii="Arial" w:hAnsi="Arial" w:cs="Arial"/>
          <w:sz w:val="22"/>
          <w:szCs w:val="22"/>
        </w:rPr>
        <w:t xml:space="preserve">Consulta en comento, </w:t>
      </w:r>
      <w:r w:rsidRPr="00061BE6">
        <w:rPr>
          <w:rFonts w:ascii="Arial" w:hAnsi="Arial" w:cs="Arial"/>
          <w:bCs/>
          <w:sz w:val="22"/>
          <w:szCs w:val="22"/>
        </w:rPr>
        <w:t xml:space="preserve">derivada del escrito </w:t>
      </w:r>
      <w:r w:rsidRPr="00061BE6">
        <w:rPr>
          <w:rFonts w:ascii="Arial" w:hAnsi="Arial" w:cs="Arial"/>
          <w:sz w:val="22"/>
          <w:szCs w:val="22"/>
        </w:rPr>
        <w:t>presentado por el Comisionado Propietario del Partido Político MORENA</w:t>
      </w:r>
      <w:r>
        <w:rPr>
          <w:rFonts w:ascii="Arial" w:hAnsi="Arial" w:cs="Arial"/>
          <w:sz w:val="22"/>
          <w:szCs w:val="22"/>
        </w:rPr>
        <w:t xml:space="preserve">, </w:t>
      </w:r>
      <w:r w:rsidRPr="00F231FB">
        <w:rPr>
          <w:rFonts w:ascii="Arial" w:hAnsi="Arial" w:cs="Arial"/>
          <w:sz w:val="22"/>
          <w:szCs w:val="22"/>
        </w:rPr>
        <w:t xml:space="preserve">considerando que </w:t>
      </w:r>
      <w:r w:rsidRPr="00F231FB">
        <w:rPr>
          <w:rFonts w:ascii="Arial" w:hAnsi="Arial" w:cs="Arial"/>
          <w:sz w:val="22"/>
          <w:szCs w:val="22"/>
        </w:rPr>
        <w:lastRenderedPageBreak/>
        <w:t xml:space="preserve">dicho partido es un partido político nacional, es que se actualiza la competencia de la Comisión de </w:t>
      </w:r>
      <w:r w:rsidRPr="000D6FE7">
        <w:rPr>
          <w:rFonts w:ascii="Arial" w:hAnsi="Arial" w:cs="Arial"/>
          <w:sz w:val="22"/>
          <w:szCs w:val="22"/>
        </w:rPr>
        <w:t>Asuntos Jurídicos, en términos de lo establecido en el artículo 18, fracciones III y IX, del Regl</w:t>
      </w:r>
      <w:r w:rsidRPr="00F231FB">
        <w:rPr>
          <w:rFonts w:ascii="Arial" w:hAnsi="Arial" w:cs="Arial"/>
          <w:sz w:val="22"/>
          <w:szCs w:val="22"/>
        </w:rPr>
        <w:t>amento de Comisiones del Consejo General del Instituto Electoral del Estado de Colima.</w:t>
      </w:r>
    </w:p>
    <w:p w14:paraId="4775EE05" w14:textId="77777777" w:rsidR="00B4250A" w:rsidRPr="008D6473" w:rsidRDefault="00B4250A" w:rsidP="00B4250A">
      <w:pPr>
        <w:spacing w:line="360" w:lineRule="auto"/>
        <w:jc w:val="both"/>
        <w:rPr>
          <w:rFonts w:ascii="Arial" w:eastAsia="Calibri" w:hAnsi="Arial" w:cs="Arial"/>
          <w:sz w:val="22"/>
          <w:szCs w:val="22"/>
          <w:lang w:eastAsia="en-US"/>
        </w:rPr>
      </w:pPr>
    </w:p>
    <w:p w14:paraId="12391C65" w14:textId="77777777" w:rsidR="00B4250A" w:rsidRPr="008D6473" w:rsidRDefault="00B4250A" w:rsidP="00B4250A">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7</w:t>
      </w:r>
      <w:r w:rsidRPr="008D6473">
        <w:rPr>
          <w:rFonts w:ascii="Arial" w:eastAsia="Arial" w:hAnsi="Arial" w:cs="Arial"/>
          <w:b/>
          <w:spacing w:val="-1"/>
          <w:sz w:val="22"/>
          <w:szCs w:val="22"/>
          <w:lang w:val="es-MX" w:eastAsia="en-US"/>
        </w:rPr>
        <w:t>ª</w:t>
      </w:r>
      <w:r w:rsidRPr="008D6473">
        <w:rPr>
          <w:rFonts w:ascii="Arial" w:eastAsia="Calibri" w:hAnsi="Arial" w:cs="Arial"/>
          <w:b/>
          <w:sz w:val="22"/>
          <w:szCs w:val="22"/>
          <w:lang w:val="es-MX" w:eastAsia="en-US"/>
        </w:rPr>
        <w:t>.-</w:t>
      </w:r>
      <w:r w:rsidRPr="008D6473">
        <w:rPr>
          <w:rFonts w:ascii="Arial" w:eastAsia="Calibri" w:hAnsi="Arial" w:cs="Arial"/>
          <w:sz w:val="22"/>
          <w:szCs w:val="22"/>
          <w:lang w:val="es-MX" w:eastAsia="en-US"/>
        </w:rPr>
        <w:t xml:space="preserve"> Ahora bien, el artículo 6º del citado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gramatical, sistemático y funcional, atendiendo a lo dispuesto en los principios constitucionales.  </w:t>
      </w:r>
    </w:p>
    <w:p w14:paraId="34031BB8" w14:textId="77777777" w:rsidR="00B4250A" w:rsidRPr="008D6473" w:rsidRDefault="00B4250A" w:rsidP="00B4250A">
      <w:pPr>
        <w:spacing w:line="360" w:lineRule="auto"/>
        <w:jc w:val="both"/>
        <w:rPr>
          <w:rFonts w:ascii="Arial" w:eastAsia="Calibri" w:hAnsi="Arial" w:cs="Arial"/>
          <w:sz w:val="22"/>
          <w:szCs w:val="22"/>
          <w:lang w:val="es-MX" w:eastAsia="en-US"/>
        </w:rPr>
      </w:pPr>
    </w:p>
    <w:p w14:paraId="764B3131" w14:textId="77777777" w:rsidR="00B4250A" w:rsidRPr="008D6473" w:rsidRDefault="00B4250A" w:rsidP="00B4250A">
      <w:pPr>
        <w:spacing w:line="360" w:lineRule="auto"/>
        <w:jc w:val="both"/>
        <w:rPr>
          <w:rFonts w:ascii="Arial" w:eastAsia="Calibri" w:hAnsi="Arial" w:cs="Arial"/>
          <w:sz w:val="22"/>
          <w:szCs w:val="22"/>
          <w:lang w:val="es-MX" w:eastAsia="en-US"/>
        </w:rPr>
      </w:pPr>
      <w:r w:rsidRPr="008D6473">
        <w:rPr>
          <w:rFonts w:ascii="Arial" w:eastAsia="Calibri" w:hAnsi="Arial" w:cs="Arial"/>
          <w:sz w:val="22"/>
          <w:szCs w:val="22"/>
          <w:lang w:val="es-MX" w:eastAsia="en-US"/>
        </w:rPr>
        <w:t xml:space="preserve">Aunado a lo anterior, cabe señalar que de acuerdo con lo dispuesto por el artículo 8º de la Constitución Política de los Estados Unidos Mexicanos, </w:t>
      </w:r>
      <w:r w:rsidRPr="008D6473">
        <w:rPr>
          <w:rFonts w:ascii="Arial" w:eastAsia="Calibri" w:hAnsi="Arial" w:cs="Arial"/>
          <w:i/>
          <w:sz w:val="22"/>
          <w:szCs w:val="22"/>
          <w:lang w:val="es-MX" w:eastAsia="en-US"/>
        </w:rPr>
        <w:t>“Los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w:t>
      </w:r>
      <w:r w:rsidRPr="008D6473">
        <w:rPr>
          <w:rFonts w:ascii="Arial" w:eastAsia="Calibri" w:hAnsi="Arial" w:cs="Arial"/>
          <w:sz w:val="22"/>
          <w:szCs w:val="22"/>
          <w:lang w:val="es-MX" w:eastAsia="en-US"/>
        </w:rPr>
        <w:t xml:space="preserve"> Razón por lo cual debe acordarse una respuesta en atención a la solicitud que por escrito realizó el </w:t>
      </w:r>
      <w:r>
        <w:rPr>
          <w:rFonts w:ascii="Arial" w:eastAsia="Calibri" w:hAnsi="Arial" w:cs="Arial"/>
          <w:sz w:val="22"/>
          <w:szCs w:val="22"/>
          <w:lang w:val="es-MX" w:eastAsia="en-US"/>
        </w:rPr>
        <w:t>Partido Acción Nacional,</w:t>
      </w:r>
      <w:r w:rsidRPr="008D6473">
        <w:rPr>
          <w:rFonts w:ascii="Arial" w:eastAsia="Calibri" w:hAnsi="Arial" w:cs="Arial"/>
          <w:sz w:val="22"/>
          <w:szCs w:val="22"/>
          <w:lang w:val="es-MX" w:eastAsia="en-US"/>
        </w:rPr>
        <w:t xml:space="preserve"> la cual, deberá formularse conforme a un criterio gramatical, sistemático y funcional y atendiendo en todo momento los preceptos de </w:t>
      </w:r>
      <w:r>
        <w:rPr>
          <w:rFonts w:ascii="Arial" w:eastAsia="Calibri" w:hAnsi="Arial" w:cs="Arial"/>
          <w:sz w:val="22"/>
          <w:szCs w:val="22"/>
          <w:lang w:val="es-MX" w:eastAsia="en-US"/>
        </w:rPr>
        <w:t>las</w:t>
      </w:r>
      <w:r w:rsidRPr="008D6473">
        <w:rPr>
          <w:rFonts w:ascii="Arial" w:eastAsia="Calibri" w:hAnsi="Arial" w:cs="Arial"/>
          <w:sz w:val="22"/>
          <w:szCs w:val="22"/>
          <w:lang w:val="es-MX" w:eastAsia="en-US"/>
        </w:rPr>
        <w:t xml:space="preserve"> Constituciones Federal y Local.</w:t>
      </w:r>
    </w:p>
    <w:p w14:paraId="3DAB0C5A" w14:textId="77777777" w:rsidR="00B4250A" w:rsidRPr="008D6473" w:rsidRDefault="00B4250A" w:rsidP="00B4250A">
      <w:pPr>
        <w:spacing w:line="360" w:lineRule="auto"/>
        <w:jc w:val="both"/>
        <w:rPr>
          <w:rFonts w:ascii="Arial" w:eastAsia="Calibri" w:hAnsi="Arial" w:cs="Arial"/>
          <w:sz w:val="22"/>
          <w:szCs w:val="22"/>
          <w:lang w:val="es-MX" w:eastAsia="en-US"/>
        </w:rPr>
      </w:pPr>
    </w:p>
    <w:p w14:paraId="6605B3BB" w14:textId="77777777" w:rsidR="00B4250A" w:rsidRDefault="00B4250A" w:rsidP="00B4250A">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rPr>
      </w:pPr>
      <w:r w:rsidRPr="00A653DE">
        <w:rPr>
          <w:rFonts w:ascii="Arial" w:hAnsi="Arial" w:cs="Arial"/>
          <w:b/>
        </w:rPr>
        <w:t>8</w:t>
      </w:r>
      <w:r w:rsidRPr="00A653DE">
        <w:rPr>
          <w:rFonts w:ascii="Arial" w:eastAsia="Arial" w:hAnsi="Arial" w:cs="Arial"/>
          <w:b/>
          <w:spacing w:val="-1"/>
        </w:rPr>
        <w:t>ª</w:t>
      </w:r>
      <w:r w:rsidRPr="00A653DE">
        <w:rPr>
          <w:rFonts w:ascii="Arial" w:hAnsi="Arial" w:cs="Arial"/>
          <w:b/>
        </w:rPr>
        <w:t>.-</w:t>
      </w:r>
      <w:r w:rsidRPr="00A653DE">
        <w:rPr>
          <w:rFonts w:ascii="Arial" w:hAnsi="Arial" w:cs="Arial"/>
        </w:rPr>
        <w:t xml:space="preserve"> Ahora bien,</w:t>
      </w:r>
      <w:r>
        <w:rPr>
          <w:rFonts w:ascii="Arial" w:hAnsi="Arial" w:cs="Arial"/>
        </w:rPr>
        <w:t xml:space="preserve"> respecto al planteamiento PRIMERO.- de la consulta que nos ocupa,</w:t>
      </w:r>
      <w:r w:rsidRPr="00A653DE">
        <w:rPr>
          <w:rFonts w:ascii="Arial" w:hAnsi="Arial" w:cs="Arial"/>
        </w:rPr>
        <w:t xml:space="preserve"> debe señalarse en primer término que los bloques de competitividad</w:t>
      </w:r>
      <w:r>
        <w:rPr>
          <w:rFonts w:ascii="Arial" w:hAnsi="Arial" w:cs="Arial"/>
        </w:rPr>
        <w:t xml:space="preserve"> de Distritos y Ayuntamientos</w:t>
      </w:r>
      <w:r w:rsidRPr="00A653DE">
        <w:rPr>
          <w:rFonts w:ascii="Arial" w:hAnsi="Arial" w:cs="Arial"/>
        </w:rPr>
        <w:t xml:space="preserve"> del Partido </w:t>
      </w:r>
      <w:r>
        <w:rPr>
          <w:rFonts w:ascii="Arial" w:hAnsi="Arial" w:cs="Arial"/>
        </w:rPr>
        <w:t>Político MORENA</w:t>
      </w:r>
      <w:r w:rsidRPr="00A653DE">
        <w:rPr>
          <w:rFonts w:ascii="Arial" w:hAnsi="Arial" w:cs="Arial"/>
        </w:rPr>
        <w:t>,</w:t>
      </w:r>
      <w:r>
        <w:rPr>
          <w:rFonts w:ascii="Arial" w:hAnsi="Arial" w:cs="Arial"/>
        </w:rPr>
        <w:t xml:space="preserve"> respecto de los cuales no forman parte del Convenio de Candidatura Común, </w:t>
      </w:r>
      <w:r w:rsidRPr="00A653DE">
        <w:rPr>
          <w:rFonts w:ascii="Arial" w:hAnsi="Arial" w:cs="Arial"/>
        </w:rPr>
        <w:t xml:space="preserve">fueron determinados por el Consejo General del Instituto Electoral del Estado de Colima, mediante </w:t>
      </w:r>
      <w:r>
        <w:rPr>
          <w:rFonts w:ascii="Arial" w:hAnsi="Arial" w:cs="Arial"/>
        </w:rPr>
        <w:t xml:space="preserve">la resolución IEE/CG/R013/2021 denominada “RESOLUCIÓN DEL CONSEJO GENERAL DEL INSTITUTO ELECTORAL DEL ESTADO DE COLIMA, RESPECTO DE LA SOLICITUD DE REGISTRO D CONVENIO DE CANDIDATURA COMÚN PARA LA POSTULACIÓN DE CANDIDATURAS EN LAS ELECCIONES DE DIPUTACIONES E INTEGRACIÓN DE AYUNTAMIENTOS DE LA ENTIDAD, PRESENTADA POR LOS PARTIDOS POLÍTICOS MORENA Y NUEVA ALIANZA COLIMA, PARA CONTENDER EN EL </w:t>
      </w:r>
      <w:r>
        <w:rPr>
          <w:rFonts w:ascii="Arial" w:hAnsi="Arial" w:cs="Arial"/>
        </w:rPr>
        <w:lastRenderedPageBreak/>
        <w:t xml:space="preserve">PROCESO ELECTORAL LOCAL 202-2021, EN CUMPLIMIENTO A LO ORDENADO EN LA RESOLUCIÓN RA-01/2021 Y SU ACUMULADO RA-02/2021, EMITIDIA POR EL TRIBUNAL ELECTORAL DEL ESTADO DE COLIMA” en el párrafo final del resolutivo 20º. Fracción I, misma que respecto a los Ayuntamientos se determinó la tabla siguiente: </w:t>
      </w:r>
    </w:p>
    <w:p w14:paraId="03CD0160" w14:textId="77777777" w:rsidR="00E65B65" w:rsidRDefault="00E65B65" w:rsidP="00B4250A">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rPr>
      </w:pPr>
    </w:p>
    <w:p w14:paraId="6ABA7DB0" w14:textId="77777777" w:rsidR="00B4250A" w:rsidRPr="00E65B65" w:rsidRDefault="00B4250A" w:rsidP="00E65B65">
      <w:pPr>
        <w:pStyle w:val="Prrafodelista"/>
        <w:tabs>
          <w:tab w:val="left" w:pos="0"/>
          <w:tab w:val="left" w:pos="426"/>
          <w:tab w:val="left" w:pos="709"/>
        </w:tabs>
        <w:autoSpaceDE w:val="0"/>
        <w:autoSpaceDN w:val="0"/>
        <w:adjustRightInd w:val="0"/>
        <w:spacing w:after="0" w:line="240" w:lineRule="auto"/>
        <w:ind w:left="0"/>
        <w:jc w:val="center"/>
        <w:rPr>
          <w:rFonts w:ascii="Arial" w:hAnsi="Arial" w:cs="Arial"/>
          <w:sz w:val="20"/>
        </w:rPr>
      </w:pPr>
      <w:r w:rsidRPr="00E65B65">
        <w:rPr>
          <w:rFonts w:ascii="Arial" w:hAnsi="Arial" w:cs="Arial"/>
          <w:sz w:val="20"/>
        </w:rPr>
        <w:t>Tabla 1</w:t>
      </w:r>
    </w:p>
    <w:tbl>
      <w:tblPr>
        <w:tblW w:w="5249" w:type="dxa"/>
        <w:jc w:val="center"/>
        <w:tblCellMar>
          <w:left w:w="70" w:type="dxa"/>
          <w:right w:w="70" w:type="dxa"/>
        </w:tblCellMar>
        <w:tblLook w:val="04A0" w:firstRow="1" w:lastRow="0" w:firstColumn="1" w:lastColumn="0" w:noHBand="0" w:noVBand="1"/>
      </w:tblPr>
      <w:tblGrid>
        <w:gridCol w:w="1547"/>
        <w:gridCol w:w="1407"/>
        <w:gridCol w:w="1200"/>
        <w:gridCol w:w="1181"/>
      </w:tblGrid>
      <w:tr w:rsidR="00B4250A" w:rsidRPr="00FE2553" w14:paraId="60FAE869" w14:textId="77777777" w:rsidTr="00300DB0">
        <w:trPr>
          <w:trHeight w:val="300"/>
          <w:jc w:val="center"/>
        </w:trPr>
        <w:tc>
          <w:tcPr>
            <w:tcW w:w="154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F74C386" w14:textId="77777777" w:rsidR="00B4250A" w:rsidRPr="00FE2553" w:rsidRDefault="00B4250A" w:rsidP="00300DB0">
            <w:pPr>
              <w:jc w:val="center"/>
              <w:rPr>
                <w:rFonts w:ascii="Arial" w:hAnsi="Arial" w:cs="Arial"/>
                <w:b/>
                <w:bCs/>
                <w:color w:val="000000"/>
                <w:lang w:eastAsia="es-MX"/>
              </w:rPr>
            </w:pPr>
            <w:r w:rsidRPr="00FE2553">
              <w:rPr>
                <w:rFonts w:ascii="Arial" w:hAnsi="Arial" w:cs="Arial"/>
                <w:b/>
                <w:bCs/>
                <w:color w:val="000000"/>
                <w:lang w:eastAsia="es-MX"/>
              </w:rPr>
              <w:t>MORENA</w:t>
            </w:r>
          </w:p>
        </w:tc>
        <w:tc>
          <w:tcPr>
            <w:tcW w:w="1302" w:type="dxa"/>
            <w:tcBorders>
              <w:top w:val="single" w:sz="8" w:space="0" w:color="auto"/>
              <w:left w:val="nil"/>
              <w:bottom w:val="nil"/>
              <w:right w:val="single" w:sz="8" w:space="0" w:color="auto"/>
            </w:tcBorders>
            <w:shd w:val="clear" w:color="auto" w:fill="auto"/>
            <w:noWrap/>
            <w:vAlign w:val="center"/>
            <w:hideMark/>
          </w:tcPr>
          <w:p w14:paraId="0D7DA574" w14:textId="77777777" w:rsidR="00B4250A" w:rsidRPr="00FE2553" w:rsidRDefault="00B4250A" w:rsidP="00300DB0">
            <w:pPr>
              <w:jc w:val="center"/>
              <w:rPr>
                <w:rFonts w:ascii="Arial" w:hAnsi="Arial" w:cs="Arial"/>
                <w:b/>
                <w:bCs/>
                <w:color w:val="000000"/>
                <w:lang w:eastAsia="es-MX"/>
              </w:rPr>
            </w:pPr>
            <w:r w:rsidRPr="00FE2553">
              <w:rPr>
                <w:rFonts w:ascii="Arial" w:hAnsi="Arial" w:cs="Arial"/>
                <w:b/>
                <w:bCs/>
                <w:color w:val="000000"/>
                <w:lang w:eastAsia="es-MX"/>
              </w:rPr>
              <w:t>VOTACIÓN</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8410857" w14:textId="77777777" w:rsidR="00B4250A" w:rsidRPr="00FE2553" w:rsidRDefault="00B4250A" w:rsidP="00300DB0">
            <w:pPr>
              <w:jc w:val="center"/>
              <w:rPr>
                <w:rFonts w:ascii="Arial" w:hAnsi="Arial" w:cs="Arial"/>
                <w:b/>
                <w:bCs/>
                <w:color w:val="000000"/>
                <w:lang w:eastAsia="es-MX"/>
              </w:rPr>
            </w:pPr>
            <w:r w:rsidRPr="00FE2553">
              <w:rPr>
                <w:rFonts w:ascii="Arial" w:hAnsi="Arial" w:cs="Arial"/>
                <w:b/>
                <w:bCs/>
                <w:color w:val="000000"/>
                <w:lang w:eastAsia="es-MX"/>
              </w:rPr>
              <w:t>%</w:t>
            </w:r>
          </w:p>
        </w:tc>
        <w:tc>
          <w:tcPr>
            <w:tcW w:w="1200" w:type="dxa"/>
            <w:vMerge w:val="restart"/>
            <w:tcBorders>
              <w:top w:val="single" w:sz="8" w:space="0" w:color="auto"/>
              <w:left w:val="single" w:sz="8" w:space="0" w:color="auto"/>
              <w:right w:val="single" w:sz="8" w:space="0" w:color="auto"/>
            </w:tcBorders>
          </w:tcPr>
          <w:p w14:paraId="61E9CA18" w14:textId="77777777" w:rsidR="00B4250A" w:rsidRPr="00FE2553" w:rsidRDefault="00B4250A" w:rsidP="00300DB0">
            <w:pPr>
              <w:jc w:val="center"/>
              <w:rPr>
                <w:rFonts w:ascii="Arial" w:hAnsi="Arial" w:cs="Arial"/>
                <w:b/>
                <w:bCs/>
                <w:color w:val="000000"/>
                <w:lang w:eastAsia="es-MX"/>
              </w:rPr>
            </w:pPr>
            <w:r>
              <w:rPr>
                <w:rFonts w:ascii="Arial" w:hAnsi="Arial" w:cs="Arial"/>
                <w:b/>
                <w:bCs/>
                <w:color w:val="000000"/>
                <w:lang w:eastAsia="es-MX"/>
              </w:rPr>
              <w:t>GÉNERO</w:t>
            </w:r>
          </w:p>
        </w:tc>
      </w:tr>
      <w:tr w:rsidR="00B4250A" w:rsidRPr="00FE2553" w14:paraId="13B9039A" w14:textId="77777777" w:rsidTr="00300DB0">
        <w:trPr>
          <w:trHeight w:val="315"/>
          <w:jc w:val="center"/>
        </w:trPr>
        <w:tc>
          <w:tcPr>
            <w:tcW w:w="1547" w:type="dxa"/>
            <w:vMerge/>
            <w:tcBorders>
              <w:top w:val="single" w:sz="8" w:space="0" w:color="auto"/>
              <w:left w:val="single" w:sz="8" w:space="0" w:color="auto"/>
              <w:bottom w:val="single" w:sz="8" w:space="0" w:color="000000"/>
              <w:right w:val="single" w:sz="8" w:space="0" w:color="auto"/>
            </w:tcBorders>
            <w:vAlign w:val="center"/>
            <w:hideMark/>
          </w:tcPr>
          <w:p w14:paraId="14B3015A" w14:textId="77777777" w:rsidR="00B4250A" w:rsidRPr="00FE2553" w:rsidRDefault="00B4250A" w:rsidP="00300DB0">
            <w:pPr>
              <w:rPr>
                <w:rFonts w:ascii="Arial" w:hAnsi="Arial" w:cs="Arial"/>
                <w:b/>
                <w:bCs/>
                <w:color w:val="000000"/>
                <w:lang w:eastAsia="es-MX"/>
              </w:rPr>
            </w:pPr>
          </w:p>
        </w:tc>
        <w:tc>
          <w:tcPr>
            <w:tcW w:w="1302" w:type="dxa"/>
            <w:tcBorders>
              <w:top w:val="nil"/>
              <w:left w:val="nil"/>
              <w:bottom w:val="single" w:sz="8" w:space="0" w:color="auto"/>
              <w:right w:val="single" w:sz="8" w:space="0" w:color="auto"/>
            </w:tcBorders>
            <w:shd w:val="clear" w:color="auto" w:fill="auto"/>
            <w:noWrap/>
            <w:vAlign w:val="center"/>
            <w:hideMark/>
          </w:tcPr>
          <w:p w14:paraId="3247A12E" w14:textId="77777777" w:rsidR="00B4250A" w:rsidRPr="00FE2553" w:rsidRDefault="00B4250A" w:rsidP="00300DB0">
            <w:pPr>
              <w:jc w:val="center"/>
              <w:rPr>
                <w:rFonts w:ascii="Arial" w:hAnsi="Arial" w:cs="Arial"/>
                <w:b/>
                <w:bCs/>
                <w:color w:val="000000"/>
                <w:lang w:eastAsia="es-MX"/>
              </w:rPr>
            </w:pPr>
            <w:r w:rsidRPr="00FE2553">
              <w:rPr>
                <w:rFonts w:ascii="Arial" w:hAnsi="Arial" w:cs="Arial"/>
                <w:b/>
                <w:bCs/>
                <w:color w:val="000000"/>
                <w:lang w:eastAsia="es-MX"/>
              </w:rPr>
              <w:t>2017-2018</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0FF2021" w14:textId="77777777" w:rsidR="00B4250A" w:rsidRPr="00FE2553" w:rsidRDefault="00B4250A" w:rsidP="00300DB0">
            <w:pPr>
              <w:rPr>
                <w:rFonts w:ascii="Arial" w:hAnsi="Arial" w:cs="Arial"/>
                <w:b/>
                <w:bCs/>
                <w:color w:val="000000"/>
                <w:lang w:eastAsia="es-MX"/>
              </w:rPr>
            </w:pPr>
          </w:p>
        </w:tc>
        <w:tc>
          <w:tcPr>
            <w:tcW w:w="1200" w:type="dxa"/>
            <w:vMerge/>
            <w:tcBorders>
              <w:left w:val="single" w:sz="8" w:space="0" w:color="auto"/>
              <w:bottom w:val="single" w:sz="8" w:space="0" w:color="000000"/>
              <w:right w:val="single" w:sz="8" w:space="0" w:color="auto"/>
            </w:tcBorders>
          </w:tcPr>
          <w:p w14:paraId="5680513A" w14:textId="77777777" w:rsidR="00B4250A" w:rsidRPr="00FE2553" w:rsidRDefault="00B4250A" w:rsidP="00300DB0">
            <w:pPr>
              <w:rPr>
                <w:rFonts w:ascii="Arial" w:hAnsi="Arial" w:cs="Arial"/>
                <w:b/>
                <w:bCs/>
                <w:color w:val="000000"/>
                <w:lang w:eastAsia="es-MX"/>
              </w:rPr>
            </w:pPr>
          </w:p>
        </w:tc>
      </w:tr>
      <w:tr w:rsidR="00B4250A" w:rsidRPr="00FE2553" w14:paraId="6619440D" w14:textId="77777777" w:rsidTr="00300DB0">
        <w:trPr>
          <w:trHeight w:val="240"/>
          <w:jc w:val="center"/>
        </w:trPr>
        <w:tc>
          <w:tcPr>
            <w:tcW w:w="404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BCBEE9B" w14:textId="77777777" w:rsidR="00B4250A" w:rsidRPr="00FE2553" w:rsidRDefault="00B4250A" w:rsidP="00300DB0">
            <w:pPr>
              <w:jc w:val="center"/>
              <w:rPr>
                <w:rFonts w:ascii="Arial" w:hAnsi="Arial" w:cs="Arial"/>
                <w:b/>
                <w:bCs/>
                <w:color w:val="000000"/>
                <w:sz w:val="16"/>
                <w:szCs w:val="16"/>
                <w:lang w:eastAsia="es-MX"/>
              </w:rPr>
            </w:pPr>
            <w:r w:rsidRPr="00FE2553">
              <w:rPr>
                <w:rFonts w:ascii="Arial" w:hAnsi="Arial" w:cs="Arial"/>
                <w:b/>
                <w:bCs/>
                <w:color w:val="000000"/>
                <w:sz w:val="16"/>
                <w:szCs w:val="16"/>
                <w:lang w:eastAsia="es-MX"/>
              </w:rPr>
              <w:t>BLOQUE DE COMPETITIVIDAD ALTA</w:t>
            </w:r>
          </w:p>
        </w:tc>
        <w:tc>
          <w:tcPr>
            <w:tcW w:w="1200" w:type="dxa"/>
            <w:tcBorders>
              <w:top w:val="single" w:sz="8" w:space="0" w:color="auto"/>
              <w:left w:val="single" w:sz="8" w:space="0" w:color="auto"/>
              <w:bottom w:val="single" w:sz="8" w:space="0" w:color="auto"/>
              <w:right w:val="single" w:sz="8" w:space="0" w:color="000000"/>
            </w:tcBorders>
          </w:tcPr>
          <w:p w14:paraId="198D8AF9" w14:textId="77777777" w:rsidR="00B4250A" w:rsidRPr="00FE2553" w:rsidRDefault="00B4250A" w:rsidP="00300DB0">
            <w:pPr>
              <w:jc w:val="center"/>
              <w:rPr>
                <w:rFonts w:ascii="Arial" w:hAnsi="Arial" w:cs="Arial"/>
                <w:b/>
                <w:bCs/>
                <w:color w:val="000000"/>
                <w:sz w:val="16"/>
                <w:szCs w:val="16"/>
                <w:lang w:eastAsia="es-MX"/>
              </w:rPr>
            </w:pPr>
          </w:p>
        </w:tc>
      </w:tr>
      <w:tr w:rsidR="00B4250A" w:rsidRPr="00FE2553" w14:paraId="70CD118B" w14:textId="77777777" w:rsidTr="00300DB0">
        <w:trPr>
          <w:trHeight w:val="315"/>
          <w:jc w:val="center"/>
        </w:trPr>
        <w:tc>
          <w:tcPr>
            <w:tcW w:w="1547" w:type="dxa"/>
            <w:tcBorders>
              <w:top w:val="nil"/>
              <w:left w:val="single" w:sz="8" w:space="0" w:color="auto"/>
              <w:bottom w:val="single" w:sz="8" w:space="0" w:color="auto"/>
              <w:right w:val="single" w:sz="8" w:space="0" w:color="auto"/>
            </w:tcBorders>
            <w:shd w:val="clear" w:color="000000" w:fill="D0CECE"/>
            <w:noWrap/>
            <w:vAlign w:val="center"/>
            <w:hideMark/>
          </w:tcPr>
          <w:p w14:paraId="72549F81" w14:textId="77777777" w:rsidR="00B4250A" w:rsidRPr="00FE2553" w:rsidRDefault="00B4250A" w:rsidP="00300DB0">
            <w:pPr>
              <w:rPr>
                <w:rFonts w:ascii="Arial" w:hAnsi="Arial" w:cs="Arial"/>
                <w:color w:val="000000"/>
                <w:lang w:eastAsia="es-MX"/>
              </w:rPr>
            </w:pPr>
            <w:r w:rsidRPr="00FE2553">
              <w:rPr>
                <w:rFonts w:ascii="Arial" w:hAnsi="Arial" w:cs="Arial"/>
                <w:color w:val="000000"/>
                <w:lang w:eastAsia="es-MX"/>
              </w:rPr>
              <w:t>Armería</w:t>
            </w:r>
          </w:p>
        </w:tc>
        <w:tc>
          <w:tcPr>
            <w:tcW w:w="1302" w:type="dxa"/>
            <w:tcBorders>
              <w:top w:val="nil"/>
              <w:left w:val="nil"/>
              <w:bottom w:val="single" w:sz="8" w:space="0" w:color="auto"/>
              <w:right w:val="single" w:sz="8" w:space="0" w:color="auto"/>
            </w:tcBorders>
            <w:shd w:val="clear" w:color="000000" w:fill="D0CECE"/>
            <w:noWrap/>
            <w:vAlign w:val="center"/>
            <w:hideMark/>
          </w:tcPr>
          <w:p w14:paraId="33781093" w14:textId="77777777" w:rsidR="00B4250A" w:rsidRPr="00FE2553" w:rsidRDefault="00B4250A" w:rsidP="00300DB0">
            <w:pPr>
              <w:jc w:val="center"/>
              <w:rPr>
                <w:rFonts w:ascii="Arial" w:hAnsi="Arial" w:cs="Arial"/>
                <w:color w:val="000000"/>
                <w:lang w:eastAsia="es-MX"/>
              </w:rPr>
            </w:pPr>
            <w:r w:rsidRPr="00FE2553">
              <w:rPr>
                <w:rFonts w:ascii="Arial" w:hAnsi="Arial" w:cs="Arial"/>
                <w:color w:val="000000"/>
                <w:lang w:eastAsia="es-MX"/>
              </w:rPr>
              <w:t>4606</w:t>
            </w:r>
          </w:p>
        </w:tc>
        <w:tc>
          <w:tcPr>
            <w:tcW w:w="1200" w:type="dxa"/>
            <w:tcBorders>
              <w:top w:val="nil"/>
              <w:left w:val="nil"/>
              <w:bottom w:val="single" w:sz="8" w:space="0" w:color="auto"/>
              <w:right w:val="single" w:sz="8" w:space="0" w:color="auto"/>
            </w:tcBorders>
            <w:shd w:val="clear" w:color="000000" w:fill="D0CECE"/>
            <w:noWrap/>
            <w:vAlign w:val="center"/>
            <w:hideMark/>
          </w:tcPr>
          <w:p w14:paraId="2020A2DB" w14:textId="77777777" w:rsidR="00B4250A" w:rsidRPr="00FE2553" w:rsidRDefault="00B4250A" w:rsidP="00300DB0">
            <w:pPr>
              <w:jc w:val="center"/>
              <w:rPr>
                <w:rFonts w:ascii="Arial" w:hAnsi="Arial" w:cs="Arial"/>
                <w:color w:val="000000"/>
                <w:lang w:eastAsia="es-MX"/>
              </w:rPr>
            </w:pPr>
            <w:r w:rsidRPr="00FE2553">
              <w:rPr>
                <w:rFonts w:ascii="Arial" w:hAnsi="Arial" w:cs="Arial"/>
                <w:color w:val="000000"/>
                <w:lang w:eastAsia="es-MX"/>
              </w:rPr>
              <w:t>35.9872</w:t>
            </w:r>
            <w:r>
              <w:rPr>
                <w:rFonts w:ascii="Arial" w:hAnsi="Arial" w:cs="Arial"/>
                <w:color w:val="000000"/>
                <w:lang w:eastAsia="es-MX"/>
              </w:rPr>
              <w:t xml:space="preserve"> </w:t>
            </w:r>
          </w:p>
        </w:tc>
        <w:tc>
          <w:tcPr>
            <w:tcW w:w="1200" w:type="dxa"/>
            <w:tcBorders>
              <w:top w:val="nil"/>
              <w:left w:val="nil"/>
              <w:bottom w:val="single" w:sz="8" w:space="0" w:color="auto"/>
              <w:right w:val="single" w:sz="8" w:space="0" w:color="auto"/>
            </w:tcBorders>
            <w:shd w:val="clear" w:color="000000" w:fill="D0CECE"/>
          </w:tcPr>
          <w:p w14:paraId="1F148207" w14:textId="77777777" w:rsidR="00B4250A" w:rsidRPr="00FE2553" w:rsidRDefault="00B4250A" w:rsidP="00300DB0">
            <w:pPr>
              <w:jc w:val="center"/>
              <w:rPr>
                <w:rFonts w:ascii="Arial" w:hAnsi="Arial" w:cs="Arial"/>
                <w:color w:val="000000"/>
                <w:lang w:eastAsia="es-MX"/>
              </w:rPr>
            </w:pPr>
            <w:r>
              <w:rPr>
                <w:rFonts w:ascii="Arial" w:hAnsi="Arial" w:cs="Arial"/>
                <w:color w:val="000000"/>
                <w:lang w:eastAsia="es-MX"/>
              </w:rPr>
              <w:t>M</w:t>
            </w:r>
          </w:p>
        </w:tc>
      </w:tr>
      <w:tr w:rsidR="00B4250A" w:rsidRPr="00FE2553" w14:paraId="548F2841" w14:textId="77777777" w:rsidTr="00300DB0">
        <w:trPr>
          <w:trHeight w:val="315"/>
          <w:jc w:val="center"/>
        </w:trPr>
        <w:tc>
          <w:tcPr>
            <w:tcW w:w="1547" w:type="dxa"/>
            <w:tcBorders>
              <w:top w:val="nil"/>
              <w:left w:val="single" w:sz="8" w:space="0" w:color="auto"/>
              <w:bottom w:val="single" w:sz="8" w:space="0" w:color="auto"/>
              <w:right w:val="single" w:sz="8" w:space="0" w:color="auto"/>
            </w:tcBorders>
            <w:shd w:val="clear" w:color="000000" w:fill="D0CECE"/>
            <w:noWrap/>
            <w:vAlign w:val="center"/>
            <w:hideMark/>
          </w:tcPr>
          <w:p w14:paraId="0626FAE2" w14:textId="77777777" w:rsidR="00B4250A" w:rsidRPr="00FE2553" w:rsidRDefault="00B4250A" w:rsidP="00300DB0">
            <w:pPr>
              <w:rPr>
                <w:rFonts w:ascii="Arial" w:hAnsi="Arial" w:cs="Arial"/>
                <w:color w:val="000000"/>
                <w:lang w:eastAsia="es-MX"/>
              </w:rPr>
            </w:pPr>
            <w:r w:rsidRPr="00FE2553">
              <w:rPr>
                <w:rFonts w:ascii="Arial" w:hAnsi="Arial" w:cs="Arial"/>
                <w:color w:val="000000"/>
                <w:lang w:eastAsia="es-MX"/>
              </w:rPr>
              <w:t>Tecomán</w:t>
            </w:r>
          </w:p>
        </w:tc>
        <w:tc>
          <w:tcPr>
            <w:tcW w:w="1302" w:type="dxa"/>
            <w:tcBorders>
              <w:top w:val="nil"/>
              <w:left w:val="nil"/>
              <w:bottom w:val="single" w:sz="8" w:space="0" w:color="auto"/>
              <w:right w:val="single" w:sz="8" w:space="0" w:color="auto"/>
            </w:tcBorders>
            <w:shd w:val="clear" w:color="000000" w:fill="D0CECE"/>
            <w:noWrap/>
            <w:vAlign w:val="center"/>
            <w:hideMark/>
          </w:tcPr>
          <w:p w14:paraId="20736D78" w14:textId="77777777" w:rsidR="00B4250A" w:rsidRPr="00FE2553" w:rsidRDefault="00B4250A" w:rsidP="00300DB0">
            <w:pPr>
              <w:jc w:val="center"/>
              <w:rPr>
                <w:rFonts w:ascii="Arial" w:hAnsi="Arial" w:cs="Arial"/>
                <w:color w:val="000000"/>
                <w:lang w:eastAsia="es-MX"/>
              </w:rPr>
            </w:pPr>
            <w:r w:rsidRPr="00FE2553">
              <w:rPr>
                <w:rFonts w:ascii="Arial" w:hAnsi="Arial" w:cs="Arial"/>
                <w:color w:val="000000"/>
                <w:lang w:eastAsia="es-MX"/>
              </w:rPr>
              <w:t>15744</w:t>
            </w:r>
          </w:p>
        </w:tc>
        <w:tc>
          <w:tcPr>
            <w:tcW w:w="1200" w:type="dxa"/>
            <w:tcBorders>
              <w:top w:val="nil"/>
              <w:left w:val="nil"/>
              <w:bottom w:val="single" w:sz="8" w:space="0" w:color="auto"/>
              <w:right w:val="single" w:sz="8" w:space="0" w:color="auto"/>
            </w:tcBorders>
            <w:shd w:val="clear" w:color="000000" w:fill="D0CECE"/>
            <w:noWrap/>
            <w:vAlign w:val="center"/>
            <w:hideMark/>
          </w:tcPr>
          <w:p w14:paraId="073B655F" w14:textId="77777777" w:rsidR="00B4250A" w:rsidRPr="00FE2553" w:rsidRDefault="00B4250A" w:rsidP="00300DB0">
            <w:pPr>
              <w:jc w:val="center"/>
              <w:rPr>
                <w:rFonts w:ascii="Arial" w:hAnsi="Arial" w:cs="Arial"/>
                <w:color w:val="000000"/>
                <w:lang w:eastAsia="es-MX"/>
              </w:rPr>
            </w:pPr>
            <w:r w:rsidRPr="00FE2553">
              <w:rPr>
                <w:rFonts w:ascii="Arial" w:hAnsi="Arial" w:cs="Arial"/>
                <w:color w:val="000000"/>
                <w:lang w:eastAsia="es-MX"/>
              </w:rPr>
              <w:t>35.5708</w:t>
            </w:r>
            <w:r>
              <w:rPr>
                <w:rFonts w:ascii="Arial" w:hAnsi="Arial" w:cs="Arial"/>
                <w:color w:val="000000"/>
                <w:lang w:eastAsia="es-MX"/>
              </w:rPr>
              <w:t xml:space="preserve"> </w:t>
            </w:r>
          </w:p>
        </w:tc>
        <w:tc>
          <w:tcPr>
            <w:tcW w:w="1200" w:type="dxa"/>
            <w:tcBorders>
              <w:top w:val="nil"/>
              <w:left w:val="nil"/>
              <w:bottom w:val="single" w:sz="8" w:space="0" w:color="auto"/>
              <w:right w:val="single" w:sz="8" w:space="0" w:color="auto"/>
            </w:tcBorders>
            <w:shd w:val="clear" w:color="000000" w:fill="D0CECE"/>
          </w:tcPr>
          <w:p w14:paraId="0CAC99A6" w14:textId="77777777" w:rsidR="00B4250A" w:rsidRPr="00FE2553" w:rsidRDefault="00B4250A" w:rsidP="00300DB0">
            <w:pPr>
              <w:jc w:val="center"/>
              <w:rPr>
                <w:rFonts w:ascii="Arial" w:hAnsi="Arial" w:cs="Arial"/>
                <w:color w:val="000000"/>
                <w:lang w:eastAsia="es-MX"/>
              </w:rPr>
            </w:pPr>
            <w:r>
              <w:rPr>
                <w:rFonts w:ascii="Arial" w:hAnsi="Arial" w:cs="Arial"/>
                <w:color w:val="000000"/>
                <w:lang w:eastAsia="es-MX"/>
              </w:rPr>
              <w:t>H</w:t>
            </w:r>
          </w:p>
        </w:tc>
      </w:tr>
      <w:tr w:rsidR="00B4250A" w:rsidRPr="00FE2553" w14:paraId="3A971616" w14:textId="77777777" w:rsidTr="00300DB0">
        <w:trPr>
          <w:trHeight w:val="240"/>
          <w:jc w:val="center"/>
        </w:trPr>
        <w:tc>
          <w:tcPr>
            <w:tcW w:w="4049"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308333D" w14:textId="77777777" w:rsidR="00B4250A" w:rsidRPr="00FE2553" w:rsidRDefault="00B4250A" w:rsidP="00300DB0">
            <w:pPr>
              <w:jc w:val="center"/>
              <w:rPr>
                <w:rFonts w:ascii="Arial" w:hAnsi="Arial" w:cs="Arial"/>
                <w:b/>
                <w:bCs/>
                <w:color w:val="000000"/>
                <w:sz w:val="16"/>
                <w:szCs w:val="16"/>
                <w:lang w:eastAsia="es-MX"/>
              </w:rPr>
            </w:pPr>
            <w:r w:rsidRPr="00FE2553">
              <w:rPr>
                <w:rFonts w:ascii="Arial" w:hAnsi="Arial" w:cs="Arial"/>
                <w:b/>
                <w:bCs/>
                <w:color w:val="000000"/>
                <w:sz w:val="16"/>
                <w:szCs w:val="16"/>
                <w:lang w:eastAsia="es-MX"/>
              </w:rPr>
              <w:t>BLOQUE DE COMPETITIVIDAD MEDIA</w:t>
            </w:r>
          </w:p>
        </w:tc>
        <w:tc>
          <w:tcPr>
            <w:tcW w:w="1200" w:type="dxa"/>
            <w:tcBorders>
              <w:top w:val="single" w:sz="8" w:space="0" w:color="auto"/>
              <w:left w:val="single" w:sz="8" w:space="0" w:color="auto"/>
              <w:bottom w:val="single" w:sz="8" w:space="0" w:color="auto"/>
              <w:right w:val="single" w:sz="8" w:space="0" w:color="000000"/>
            </w:tcBorders>
            <w:shd w:val="clear" w:color="000000" w:fill="FFFFFF"/>
          </w:tcPr>
          <w:p w14:paraId="3CA254AC" w14:textId="77777777" w:rsidR="00B4250A" w:rsidRPr="00FE2553" w:rsidRDefault="00B4250A" w:rsidP="00300DB0">
            <w:pPr>
              <w:jc w:val="center"/>
              <w:rPr>
                <w:rFonts w:ascii="Arial" w:hAnsi="Arial" w:cs="Arial"/>
                <w:b/>
                <w:bCs/>
                <w:color w:val="000000"/>
                <w:sz w:val="16"/>
                <w:szCs w:val="16"/>
                <w:lang w:eastAsia="es-MX"/>
              </w:rPr>
            </w:pPr>
          </w:p>
        </w:tc>
      </w:tr>
      <w:tr w:rsidR="00B4250A" w:rsidRPr="00FE2553" w14:paraId="2179E1B3" w14:textId="77777777" w:rsidTr="00300DB0">
        <w:trPr>
          <w:trHeight w:val="315"/>
          <w:jc w:val="center"/>
        </w:trPr>
        <w:tc>
          <w:tcPr>
            <w:tcW w:w="1547" w:type="dxa"/>
            <w:tcBorders>
              <w:top w:val="nil"/>
              <w:left w:val="single" w:sz="8" w:space="0" w:color="auto"/>
              <w:bottom w:val="single" w:sz="8" w:space="0" w:color="auto"/>
              <w:right w:val="single" w:sz="8" w:space="0" w:color="auto"/>
            </w:tcBorders>
            <w:shd w:val="clear" w:color="000000" w:fill="FFFFFF"/>
            <w:noWrap/>
            <w:vAlign w:val="center"/>
            <w:hideMark/>
          </w:tcPr>
          <w:p w14:paraId="51372E65" w14:textId="77777777" w:rsidR="00B4250A" w:rsidRPr="00FE2553" w:rsidRDefault="00B4250A" w:rsidP="00300DB0">
            <w:pPr>
              <w:rPr>
                <w:rFonts w:ascii="Arial" w:hAnsi="Arial" w:cs="Arial"/>
                <w:color w:val="000000"/>
                <w:lang w:eastAsia="es-MX"/>
              </w:rPr>
            </w:pPr>
            <w:r w:rsidRPr="00FE2553">
              <w:rPr>
                <w:rFonts w:ascii="Arial" w:hAnsi="Arial" w:cs="Arial"/>
                <w:color w:val="000000"/>
                <w:lang w:eastAsia="es-MX"/>
              </w:rPr>
              <w:t>Manzanillo</w:t>
            </w:r>
          </w:p>
        </w:tc>
        <w:tc>
          <w:tcPr>
            <w:tcW w:w="1302" w:type="dxa"/>
            <w:tcBorders>
              <w:top w:val="nil"/>
              <w:left w:val="nil"/>
              <w:bottom w:val="single" w:sz="8" w:space="0" w:color="auto"/>
              <w:right w:val="single" w:sz="8" w:space="0" w:color="auto"/>
            </w:tcBorders>
            <w:shd w:val="clear" w:color="000000" w:fill="FFFFFF"/>
            <w:noWrap/>
            <w:vAlign w:val="center"/>
            <w:hideMark/>
          </w:tcPr>
          <w:p w14:paraId="4CFBC1D1" w14:textId="77777777" w:rsidR="00B4250A" w:rsidRPr="00FE2553" w:rsidRDefault="00B4250A" w:rsidP="00300DB0">
            <w:pPr>
              <w:jc w:val="center"/>
              <w:rPr>
                <w:rFonts w:ascii="Arial" w:hAnsi="Arial" w:cs="Arial"/>
                <w:color w:val="000000"/>
                <w:lang w:eastAsia="es-MX"/>
              </w:rPr>
            </w:pPr>
            <w:r w:rsidRPr="00FE2553">
              <w:rPr>
                <w:rFonts w:ascii="Arial" w:hAnsi="Arial" w:cs="Arial"/>
                <w:color w:val="000000"/>
                <w:lang w:eastAsia="es-MX"/>
              </w:rPr>
              <w:t>25589</w:t>
            </w:r>
          </w:p>
        </w:tc>
        <w:tc>
          <w:tcPr>
            <w:tcW w:w="1200" w:type="dxa"/>
            <w:tcBorders>
              <w:top w:val="nil"/>
              <w:left w:val="nil"/>
              <w:bottom w:val="single" w:sz="8" w:space="0" w:color="auto"/>
              <w:right w:val="single" w:sz="8" w:space="0" w:color="auto"/>
            </w:tcBorders>
            <w:shd w:val="clear" w:color="000000" w:fill="FFFFFF"/>
            <w:noWrap/>
            <w:vAlign w:val="center"/>
            <w:hideMark/>
          </w:tcPr>
          <w:p w14:paraId="714742B1" w14:textId="77777777" w:rsidR="00B4250A" w:rsidRPr="00FE2553" w:rsidRDefault="00B4250A" w:rsidP="00300DB0">
            <w:pPr>
              <w:jc w:val="center"/>
              <w:rPr>
                <w:rFonts w:ascii="Arial" w:hAnsi="Arial" w:cs="Arial"/>
                <w:color w:val="000000"/>
                <w:lang w:eastAsia="es-MX"/>
              </w:rPr>
            </w:pPr>
            <w:r w:rsidRPr="00FE2553">
              <w:rPr>
                <w:rFonts w:ascii="Arial" w:hAnsi="Arial" w:cs="Arial"/>
                <w:color w:val="000000"/>
                <w:lang w:eastAsia="es-MX"/>
              </w:rPr>
              <w:t>31.4895</w:t>
            </w:r>
            <w:r>
              <w:rPr>
                <w:rFonts w:ascii="Arial" w:hAnsi="Arial" w:cs="Arial"/>
                <w:color w:val="000000"/>
                <w:lang w:eastAsia="es-MX"/>
              </w:rPr>
              <w:t xml:space="preserve"> </w:t>
            </w:r>
          </w:p>
        </w:tc>
        <w:tc>
          <w:tcPr>
            <w:tcW w:w="1200" w:type="dxa"/>
            <w:tcBorders>
              <w:top w:val="nil"/>
              <w:left w:val="nil"/>
              <w:bottom w:val="single" w:sz="8" w:space="0" w:color="auto"/>
              <w:right w:val="single" w:sz="8" w:space="0" w:color="auto"/>
            </w:tcBorders>
            <w:shd w:val="clear" w:color="000000" w:fill="FFFFFF"/>
          </w:tcPr>
          <w:p w14:paraId="55D68359" w14:textId="77777777" w:rsidR="00B4250A" w:rsidRPr="00FE2553" w:rsidRDefault="00B4250A" w:rsidP="00300DB0">
            <w:pPr>
              <w:jc w:val="center"/>
              <w:rPr>
                <w:rFonts w:ascii="Arial" w:hAnsi="Arial" w:cs="Arial"/>
                <w:color w:val="000000"/>
                <w:lang w:eastAsia="es-MX"/>
              </w:rPr>
            </w:pPr>
            <w:r>
              <w:rPr>
                <w:rFonts w:ascii="Arial" w:hAnsi="Arial" w:cs="Arial"/>
                <w:color w:val="000000"/>
                <w:lang w:eastAsia="es-MX"/>
              </w:rPr>
              <w:t>M</w:t>
            </w:r>
          </w:p>
        </w:tc>
      </w:tr>
      <w:tr w:rsidR="00B4250A" w:rsidRPr="00FE2553" w14:paraId="72B3ED5C" w14:textId="77777777" w:rsidTr="00300DB0">
        <w:trPr>
          <w:trHeight w:val="315"/>
          <w:jc w:val="center"/>
        </w:trPr>
        <w:tc>
          <w:tcPr>
            <w:tcW w:w="1547" w:type="dxa"/>
            <w:tcBorders>
              <w:top w:val="nil"/>
              <w:left w:val="single" w:sz="8" w:space="0" w:color="auto"/>
              <w:bottom w:val="single" w:sz="8" w:space="0" w:color="auto"/>
              <w:right w:val="single" w:sz="8" w:space="0" w:color="auto"/>
            </w:tcBorders>
            <w:shd w:val="clear" w:color="000000" w:fill="FFFFFF"/>
            <w:noWrap/>
            <w:vAlign w:val="center"/>
            <w:hideMark/>
          </w:tcPr>
          <w:p w14:paraId="5BD446E0" w14:textId="77777777" w:rsidR="00B4250A" w:rsidRPr="00FE2553" w:rsidRDefault="00B4250A" w:rsidP="00300DB0">
            <w:pPr>
              <w:rPr>
                <w:rFonts w:ascii="Arial" w:hAnsi="Arial" w:cs="Arial"/>
                <w:color w:val="000000"/>
                <w:lang w:eastAsia="es-MX"/>
              </w:rPr>
            </w:pPr>
            <w:r w:rsidRPr="00FE2553">
              <w:rPr>
                <w:rFonts w:ascii="Arial" w:hAnsi="Arial" w:cs="Arial"/>
                <w:color w:val="000000"/>
                <w:lang w:eastAsia="es-MX"/>
              </w:rPr>
              <w:t>Villa de Álvarez</w:t>
            </w:r>
          </w:p>
        </w:tc>
        <w:tc>
          <w:tcPr>
            <w:tcW w:w="1302" w:type="dxa"/>
            <w:tcBorders>
              <w:top w:val="nil"/>
              <w:left w:val="nil"/>
              <w:bottom w:val="single" w:sz="8" w:space="0" w:color="auto"/>
              <w:right w:val="single" w:sz="8" w:space="0" w:color="auto"/>
            </w:tcBorders>
            <w:shd w:val="clear" w:color="000000" w:fill="FFFFFF"/>
            <w:noWrap/>
            <w:vAlign w:val="center"/>
            <w:hideMark/>
          </w:tcPr>
          <w:p w14:paraId="79AFD7B6" w14:textId="77777777" w:rsidR="00B4250A" w:rsidRPr="00FE2553" w:rsidRDefault="00B4250A" w:rsidP="00300DB0">
            <w:pPr>
              <w:jc w:val="center"/>
              <w:rPr>
                <w:rFonts w:ascii="Arial" w:hAnsi="Arial" w:cs="Arial"/>
                <w:color w:val="000000"/>
                <w:lang w:eastAsia="es-MX"/>
              </w:rPr>
            </w:pPr>
            <w:r w:rsidRPr="00FE2553">
              <w:rPr>
                <w:rFonts w:ascii="Arial" w:hAnsi="Arial" w:cs="Arial"/>
                <w:color w:val="000000"/>
                <w:lang w:eastAsia="es-MX"/>
              </w:rPr>
              <w:t>15448</w:t>
            </w:r>
          </w:p>
        </w:tc>
        <w:tc>
          <w:tcPr>
            <w:tcW w:w="1200" w:type="dxa"/>
            <w:tcBorders>
              <w:top w:val="nil"/>
              <w:left w:val="nil"/>
              <w:bottom w:val="single" w:sz="8" w:space="0" w:color="auto"/>
              <w:right w:val="single" w:sz="8" w:space="0" w:color="auto"/>
            </w:tcBorders>
            <w:shd w:val="clear" w:color="000000" w:fill="FFFFFF"/>
            <w:noWrap/>
            <w:vAlign w:val="center"/>
            <w:hideMark/>
          </w:tcPr>
          <w:p w14:paraId="69F3673D" w14:textId="77777777" w:rsidR="00B4250A" w:rsidRPr="00FE2553" w:rsidRDefault="00B4250A" w:rsidP="00300DB0">
            <w:pPr>
              <w:jc w:val="center"/>
              <w:rPr>
                <w:rFonts w:ascii="Arial" w:hAnsi="Arial" w:cs="Arial"/>
                <w:color w:val="000000"/>
                <w:lang w:eastAsia="es-MX"/>
              </w:rPr>
            </w:pPr>
            <w:r w:rsidRPr="00FE2553">
              <w:rPr>
                <w:rFonts w:ascii="Arial" w:hAnsi="Arial" w:cs="Arial"/>
                <w:color w:val="000000"/>
                <w:lang w:eastAsia="es-MX"/>
              </w:rPr>
              <w:t>24.9685</w:t>
            </w:r>
            <w:r>
              <w:rPr>
                <w:rFonts w:ascii="Arial" w:hAnsi="Arial" w:cs="Arial"/>
                <w:color w:val="000000"/>
                <w:lang w:eastAsia="es-MX"/>
              </w:rPr>
              <w:t xml:space="preserve"> </w:t>
            </w:r>
          </w:p>
        </w:tc>
        <w:tc>
          <w:tcPr>
            <w:tcW w:w="1200" w:type="dxa"/>
            <w:tcBorders>
              <w:top w:val="nil"/>
              <w:left w:val="nil"/>
              <w:bottom w:val="single" w:sz="8" w:space="0" w:color="auto"/>
              <w:right w:val="single" w:sz="8" w:space="0" w:color="auto"/>
            </w:tcBorders>
            <w:shd w:val="clear" w:color="000000" w:fill="FFFFFF"/>
          </w:tcPr>
          <w:p w14:paraId="39CC6E65" w14:textId="77777777" w:rsidR="00B4250A" w:rsidRPr="00FE2553" w:rsidRDefault="00B4250A" w:rsidP="00300DB0">
            <w:pPr>
              <w:jc w:val="center"/>
              <w:rPr>
                <w:rFonts w:ascii="Arial" w:hAnsi="Arial" w:cs="Arial"/>
                <w:color w:val="000000"/>
                <w:lang w:eastAsia="es-MX"/>
              </w:rPr>
            </w:pPr>
            <w:r>
              <w:rPr>
                <w:rFonts w:ascii="Arial" w:hAnsi="Arial" w:cs="Arial"/>
                <w:color w:val="000000"/>
                <w:lang w:eastAsia="es-MX"/>
              </w:rPr>
              <w:t>H</w:t>
            </w:r>
          </w:p>
        </w:tc>
      </w:tr>
      <w:tr w:rsidR="00B4250A" w:rsidRPr="00FE2553" w14:paraId="0BB47A37" w14:textId="77777777" w:rsidTr="00300DB0">
        <w:trPr>
          <w:trHeight w:val="240"/>
          <w:jc w:val="center"/>
        </w:trPr>
        <w:tc>
          <w:tcPr>
            <w:tcW w:w="4049"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BA5C600" w14:textId="77777777" w:rsidR="00B4250A" w:rsidRPr="00FE2553" w:rsidRDefault="00B4250A" w:rsidP="00300DB0">
            <w:pPr>
              <w:jc w:val="center"/>
              <w:rPr>
                <w:rFonts w:ascii="Arial" w:hAnsi="Arial" w:cs="Arial"/>
                <w:b/>
                <w:bCs/>
                <w:color w:val="000000"/>
                <w:sz w:val="16"/>
                <w:szCs w:val="16"/>
                <w:lang w:eastAsia="es-MX"/>
              </w:rPr>
            </w:pPr>
            <w:r w:rsidRPr="00FE2553">
              <w:rPr>
                <w:rFonts w:ascii="Arial" w:hAnsi="Arial" w:cs="Arial"/>
                <w:b/>
                <w:bCs/>
                <w:color w:val="000000"/>
                <w:sz w:val="16"/>
                <w:szCs w:val="16"/>
                <w:lang w:eastAsia="es-MX"/>
              </w:rPr>
              <w:t>BLOQUE DE COMPETITIVIDAD BAJA</w:t>
            </w:r>
          </w:p>
        </w:tc>
        <w:tc>
          <w:tcPr>
            <w:tcW w:w="1200" w:type="dxa"/>
            <w:tcBorders>
              <w:top w:val="single" w:sz="8" w:space="0" w:color="auto"/>
              <w:left w:val="single" w:sz="8" w:space="0" w:color="auto"/>
              <w:bottom w:val="single" w:sz="8" w:space="0" w:color="auto"/>
              <w:right w:val="single" w:sz="8" w:space="0" w:color="000000"/>
            </w:tcBorders>
            <w:shd w:val="clear" w:color="000000" w:fill="FFFFFF"/>
          </w:tcPr>
          <w:p w14:paraId="21A9D747" w14:textId="77777777" w:rsidR="00B4250A" w:rsidRPr="00FE2553" w:rsidRDefault="00B4250A" w:rsidP="00300DB0">
            <w:pPr>
              <w:jc w:val="center"/>
              <w:rPr>
                <w:rFonts w:ascii="Arial" w:hAnsi="Arial" w:cs="Arial"/>
                <w:b/>
                <w:bCs/>
                <w:color w:val="000000"/>
                <w:sz w:val="16"/>
                <w:szCs w:val="16"/>
                <w:lang w:eastAsia="es-MX"/>
              </w:rPr>
            </w:pPr>
          </w:p>
        </w:tc>
      </w:tr>
      <w:tr w:rsidR="00B4250A" w:rsidRPr="00FE2553" w14:paraId="619235F8" w14:textId="77777777" w:rsidTr="00300DB0">
        <w:trPr>
          <w:trHeight w:val="315"/>
          <w:jc w:val="center"/>
        </w:trPr>
        <w:tc>
          <w:tcPr>
            <w:tcW w:w="1547" w:type="dxa"/>
            <w:tcBorders>
              <w:top w:val="nil"/>
              <w:left w:val="single" w:sz="8" w:space="0" w:color="auto"/>
              <w:bottom w:val="single" w:sz="8" w:space="0" w:color="auto"/>
              <w:right w:val="single" w:sz="8" w:space="0" w:color="auto"/>
            </w:tcBorders>
            <w:shd w:val="clear" w:color="000000" w:fill="E4DFEC"/>
            <w:noWrap/>
            <w:vAlign w:val="center"/>
            <w:hideMark/>
          </w:tcPr>
          <w:p w14:paraId="25C14508" w14:textId="77777777" w:rsidR="00B4250A" w:rsidRPr="00FE2553" w:rsidRDefault="00B4250A" w:rsidP="00300DB0">
            <w:pPr>
              <w:rPr>
                <w:rFonts w:ascii="Arial" w:hAnsi="Arial" w:cs="Arial"/>
                <w:color w:val="000000"/>
                <w:lang w:eastAsia="es-MX"/>
              </w:rPr>
            </w:pPr>
            <w:r w:rsidRPr="00FE2553">
              <w:rPr>
                <w:rFonts w:ascii="Arial" w:hAnsi="Arial" w:cs="Arial"/>
                <w:color w:val="000000"/>
                <w:lang w:eastAsia="es-MX"/>
              </w:rPr>
              <w:t>Ixtlahuacán</w:t>
            </w:r>
          </w:p>
        </w:tc>
        <w:tc>
          <w:tcPr>
            <w:tcW w:w="1302" w:type="dxa"/>
            <w:tcBorders>
              <w:top w:val="nil"/>
              <w:left w:val="nil"/>
              <w:bottom w:val="single" w:sz="8" w:space="0" w:color="auto"/>
              <w:right w:val="single" w:sz="8" w:space="0" w:color="auto"/>
            </w:tcBorders>
            <w:shd w:val="clear" w:color="000000" w:fill="E4DFEC"/>
            <w:noWrap/>
            <w:vAlign w:val="center"/>
            <w:hideMark/>
          </w:tcPr>
          <w:p w14:paraId="02820E77" w14:textId="77777777" w:rsidR="00B4250A" w:rsidRPr="00FE2553" w:rsidRDefault="00B4250A" w:rsidP="00300DB0">
            <w:pPr>
              <w:jc w:val="center"/>
              <w:rPr>
                <w:rFonts w:ascii="Arial" w:hAnsi="Arial" w:cs="Arial"/>
                <w:color w:val="000000"/>
                <w:lang w:eastAsia="es-MX"/>
              </w:rPr>
            </w:pPr>
            <w:r w:rsidRPr="00FE2553">
              <w:rPr>
                <w:rFonts w:ascii="Arial" w:hAnsi="Arial" w:cs="Arial"/>
                <w:color w:val="000000"/>
                <w:lang w:eastAsia="es-MX"/>
              </w:rPr>
              <w:t>782</w:t>
            </w:r>
          </w:p>
        </w:tc>
        <w:tc>
          <w:tcPr>
            <w:tcW w:w="1200" w:type="dxa"/>
            <w:tcBorders>
              <w:top w:val="nil"/>
              <w:left w:val="nil"/>
              <w:bottom w:val="single" w:sz="8" w:space="0" w:color="auto"/>
              <w:right w:val="single" w:sz="8" w:space="0" w:color="auto"/>
            </w:tcBorders>
            <w:shd w:val="clear" w:color="000000" w:fill="E4DFEC"/>
            <w:noWrap/>
            <w:vAlign w:val="center"/>
            <w:hideMark/>
          </w:tcPr>
          <w:p w14:paraId="52719471" w14:textId="77777777" w:rsidR="00B4250A" w:rsidRPr="00FE2553" w:rsidRDefault="00B4250A" w:rsidP="00300DB0">
            <w:pPr>
              <w:jc w:val="center"/>
              <w:rPr>
                <w:rFonts w:ascii="Arial" w:hAnsi="Arial" w:cs="Arial"/>
                <w:color w:val="000000"/>
                <w:lang w:eastAsia="es-MX"/>
              </w:rPr>
            </w:pPr>
            <w:r w:rsidRPr="00FE2553">
              <w:rPr>
                <w:rFonts w:ascii="Arial" w:hAnsi="Arial" w:cs="Arial"/>
                <w:color w:val="000000"/>
                <w:lang w:eastAsia="es-MX"/>
              </w:rPr>
              <w:t>19.8427</w:t>
            </w:r>
            <w:r>
              <w:rPr>
                <w:rFonts w:ascii="Arial" w:hAnsi="Arial" w:cs="Arial"/>
                <w:color w:val="000000"/>
                <w:lang w:eastAsia="es-MX"/>
              </w:rPr>
              <w:t xml:space="preserve"> </w:t>
            </w:r>
          </w:p>
        </w:tc>
        <w:tc>
          <w:tcPr>
            <w:tcW w:w="1200" w:type="dxa"/>
            <w:tcBorders>
              <w:top w:val="nil"/>
              <w:left w:val="nil"/>
              <w:bottom w:val="single" w:sz="8" w:space="0" w:color="auto"/>
              <w:right w:val="single" w:sz="8" w:space="0" w:color="auto"/>
            </w:tcBorders>
            <w:shd w:val="clear" w:color="000000" w:fill="E4DFEC"/>
          </w:tcPr>
          <w:p w14:paraId="6A588925" w14:textId="77777777" w:rsidR="00B4250A" w:rsidRPr="00FE2553" w:rsidRDefault="00B4250A" w:rsidP="00300DB0">
            <w:pPr>
              <w:jc w:val="center"/>
              <w:rPr>
                <w:rFonts w:ascii="Arial" w:hAnsi="Arial" w:cs="Arial"/>
                <w:color w:val="000000"/>
                <w:lang w:eastAsia="es-MX"/>
              </w:rPr>
            </w:pPr>
            <w:r>
              <w:rPr>
                <w:rFonts w:ascii="Arial" w:hAnsi="Arial" w:cs="Arial"/>
                <w:color w:val="000000"/>
                <w:lang w:eastAsia="es-MX"/>
              </w:rPr>
              <w:t>M</w:t>
            </w:r>
          </w:p>
        </w:tc>
      </w:tr>
      <w:tr w:rsidR="00B4250A" w:rsidRPr="00FE2553" w14:paraId="2BFACA92" w14:textId="77777777" w:rsidTr="00300DB0">
        <w:trPr>
          <w:trHeight w:val="315"/>
          <w:jc w:val="center"/>
        </w:trPr>
        <w:tc>
          <w:tcPr>
            <w:tcW w:w="1547" w:type="dxa"/>
            <w:tcBorders>
              <w:top w:val="nil"/>
              <w:left w:val="single" w:sz="8" w:space="0" w:color="auto"/>
              <w:bottom w:val="single" w:sz="8" w:space="0" w:color="auto"/>
              <w:right w:val="single" w:sz="8" w:space="0" w:color="auto"/>
            </w:tcBorders>
            <w:shd w:val="clear" w:color="000000" w:fill="E4DFEC"/>
            <w:noWrap/>
            <w:vAlign w:val="center"/>
            <w:hideMark/>
          </w:tcPr>
          <w:p w14:paraId="412D49A7" w14:textId="77777777" w:rsidR="00B4250A" w:rsidRPr="00FE2553" w:rsidRDefault="00B4250A" w:rsidP="00300DB0">
            <w:pPr>
              <w:rPr>
                <w:rFonts w:ascii="Arial" w:hAnsi="Arial" w:cs="Arial"/>
                <w:color w:val="000000"/>
                <w:lang w:eastAsia="es-MX"/>
              </w:rPr>
            </w:pPr>
            <w:r w:rsidRPr="00FE2553">
              <w:rPr>
                <w:rFonts w:ascii="Arial" w:hAnsi="Arial" w:cs="Arial"/>
                <w:color w:val="000000"/>
                <w:lang w:eastAsia="es-MX"/>
              </w:rPr>
              <w:t>Minatitlán</w:t>
            </w:r>
          </w:p>
        </w:tc>
        <w:tc>
          <w:tcPr>
            <w:tcW w:w="1302" w:type="dxa"/>
            <w:tcBorders>
              <w:top w:val="nil"/>
              <w:left w:val="nil"/>
              <w:bottom w:val="single" w:sz="8" w:space="0" w:color="auto"/>
              <w:right w:val="single" w:sz="8" w:space="0" w:color="auto"/>
            </w:tcBorders>
            <w:shd w:val="clear" w:color="000000" w:fill="E4DFEC"/>
            <w:noWrap/>
            <w:vAlign w:val="center"/>
            <w:hideMark/>
          </w:tcPr>
          <w:p w14:paraId="016F6E5A" w14:textId="77777777" w:rsidR="00B4250A" w:rsidRPr="00FE2553" w:rsidRDefault="00B4250A" w:rsidP="00300DB0">
            <w:pPr>
              <w:jc w:val="center"/>
              <w:rPr>
                <w:rFonts w:ascii="Arial" w:hAnsi="Arial" w:cs="Arial"/>
                <w:color w:val="000000"/>
                <w:lang w:eastAsia="es-MX"/>
              </w:rPr>
            </w:pPr>
            <w:r w:rsidRPr="00FE2553">
              <w:rPr>
                <w:rFonts w:ascii="Arial" w:hAnsi="Arial" w:cs="Arial"/>
                <w:color w:val="000000"/>
                <w:lang w:eastAsia="es-MX"/>
              </w:rPr>
              <w:t>1093</w:t>
            </w:r>
          </w:p>
        </w:tc>
        <w:tc>
          <w:tcPr>
            <w:tcW w:w="1200" w:type="dxa"/>
            <w:tcBorders>
              <w:top w:val="nil"/>
              <w:left w:val="nil"/>
              <w:bottom w:val="single" w:sz="8" w:space="0" w:color="auto"/>
              <w:right w:val="single" w:sz="8" w:space="0" w:color="auto"/>
            </w:tcBorders>
            <w:shd w:val="clear" w:color="000000" w:fill="E4DFEC"/>
            <w:noWrap/>
            <w:vAlign w:val="center"/>
            <w:hideMark/>
          </w:tcPr>
          <w:p w14:paraId="2AE92EA4" w14:textId="77777777" w:rsidR="00B4250A" w:rsidRPr="00FE2553" w:rsidRDefault="00B4250A" w:rsidP="00300DB0">
            <w:pPr>
              <w:jc w:val="center"/>
              <w:rPr>
                <w:rFonts w:ascii="Arial" w:hAnsi="Arial" w:cs="Arial"/>
                <w:color w:val="000000"/>
                <w:lang w:eastAsia="es-MX"/>
              </w:rPr>
            </w:pPr>
            <w:r w:rsidRPr="00FE2553">
              <w:rPr>
                <w:rFonts w:ascii="Arial" w:hAnsi="Arial" w:cs="Arial"/>
                <w:color w:val="000000"/>
                <w:lang w:eastAsia="es-MX"/>
              </w:rPr>
              <w:t>19.012</w:t>
            </w:r>
            <w:r>
              <w:rPr>
                <w:rFonts w:ascii="Arial" w:hAnsi="Arial" w:cs="Arial"/>
                <w:color w:val="000000"/>
                <w:lang w:eastAsia="es-MX"/>
              </w:rPr>
              <w:t xml:space="preserve"> </w:t>
            </w:r>
          </w:p>
        </w:tc>
        <w:tc>
          <w:tcPr>
            <w:tcW w:w="1200" w:type="dxa"/>
            <w:tcBorders>
              <w:top w:val="nil"/>
              <w:left w:val="nil"/>
              <w:bottom w:val="single" w:sz="8" w:space="0" w:color="auto"/>
              <w:right w:val="single" w:sz="8" w:space="0" w:color="auto"/>
            </w:tcBorders>
            <w:shd w:val="clear" w:color="000000" w:fill="E4DFEC"/>
          </w:tcPr>
          <w:p w14:paraId="4EAF090B" w14:textId="77777777" w:rsidR="00B4250A" w:rsidRPr="00FE2553" w:rsidRDefault="00B4250A" w:rsidP="00300DB0">
            <w:pPr>
              <w:jc w:val="center"/>
              <w:rPr>
                <w:rFonts w:ascii="Arial" w:hAnsi="Arial" w:cs="Arial"/>
                <w:color w:val="000000"/>
                <w:lang w:eastAsia="es-MX"/>
              </w:rPr>
            </w:pPr>
            <w:r>
              <w:rPr>
                <w:rFonts w:ascii="Arial" w:hAnsi="Arial" w:cs="Arial"/>
                <w:color w:val="000000"/>
                <w:lang w:eastAsia="es-MX"/>
              </w:rPr>
              <w:t>H</w:t>
            </w:r>
          </w:p>
        </w:tc>
      </w:tr>
    </w:tbl>
    <w:p w14:paraId="7EBE4B98" w14:textId="77777777" w:rsidR="00B4250A" w:rsidRDefault="00B4250A" w:rsidP="00B4250A">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rPr>
      </w:pPr>
    </w:p>
    <w:p w14:paraId="65670658" w14:textId="77777777" w:rsidR="00B4250A" w:rsidRDefault="00B4250A" w:rsidP="00B4250A">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rPr>
      </w:pPr>
      <w:r>
        <w:rPr>
          <w:rFonts w:ascii="Arial" w:hAnsi="Arial" w:cs="Arial"/>
        </w:rPr>
        <w:t>Del análisis de la tabla anterior, puede desprenderse que su contenido coincide con la tabla p</w:t>
      </w:r>
      <w:r w:rsidR="00E65B65">
        <w:rPr>
          <w:rFonts w:ascii="Arial" w:hAnsi="Arial" w:cs="Arial"/>
        </w:rPr>
        <w:t>lasmada en el apartado PRIMERO</w:t>
      </w:r>
      <w:r>
        <w:rPr>
          <w:rFonts w:ascii="Arial" w:hAnsi="Arial" w:cs="Arial"/>
        </w:rPr>
        <w:t xml:space="preserve"> de la consulta que nos ocupa, misma que se relaciona en el </w:t>
      </w:r>
      <w:r w:rsidR="00E65B65">
        <w:rPr>
          <w:rFonts w:ascii="Arial" w:hAnsi="Arial" w:cs="Arial"/>
        </w:rPr>
        <w:t xml:space="preserve">Antecedente VI </w:t>
      </w:r>
      <w:r>
        <w:rPr>
          <w:rFonts w:ascii="Arial" w:hAnsi="Arial" w:cs="Arial"/>
        </w:rPr>
        <w:t xml:space="preserve">del presente proyecto de respuesta y de la cual se desprende el siguiente cuestionamiento: </w:t>
      </w:r>
    </w:p>
    <w:p w14:paraId="3C6B4F30" w14:textId="77777777" w:rsidR="00B4250A" w:rsidRDefault="00B4250A" w:rsidP="00B4250A">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rPr>
      </w:pPr>
    </w:p>
    <w:p w14:paraId="7BC9A985" w14:textId="77777777" w:rsidR="00B4250A" w:rsidRDefault="00B4250A" w:rsidP="00B4250A">
      <w:pPr>
        <w:pStyle w:val="Prrafodelista"/>
        <w:numPr>
          <w:ilvl w:val="0"/>
          <w:numId w:val="6"/>
        </w:numPr>
        <w:tabs>
          <w:tab w:val="left" w:pos="0"/>
          <w:tab w:val="left" w:pos="426"/>
          <w:tab w:val="left" w:pos="709"/>
        </w:tabs>
        <w:autoSpaceDE w:val="0"/>
        <w:autoSpaceDN w:val="0"/>
        <w:adjustRightInd w:val="0"/>
        <w:spacing w:after="0" w:line="360" w:lineRule="auto"/>
        <w:jc w:val="both"/>
        <w:rPr>
          <w:rFonts w:ascii="Arial" w:hAnsi="Arial" w:cs="Arial"/>
          <w:b/>
          <w:i/>
        </w:rPr>
      </w:pPr>
      <w:r w:rsidRPr="00E81E1E">
        <w:rPr>
          <w:rFonts w:ascii="Arial" w:hAnsi="Arial" w:cs="Arial"/>
          <w:i/>
        </w:rPr>
        <w:t xml:space="preserve">Por ello es que consultamos respetablemente a este Órgano Electoral </w:t>
      </w:r>
      <w:r w:rsidRPr="00E81E1E">
        <w:rPr>
          <w:rFonts w:ascii="Arial" w:hAnsi="Arial" w:cs="Arial"/>
          <w:b/>
          <w:i/>
        </w:rPr>
        <w:t>¿Si la anterior tabla de Ayuntamientos cumple con los lineamientos del Acuerdo IEE/CG/A015/22020 del principio de paridad?</w:t>
      </w:r>
    </w:p>
    <w:p w14:paraId="02793F4B" w14:textId="77777777" w:rsidR="00B4250A" w:rsidRDefault="00B4250A" w:rsidP="00B4250A">
      <w:pPr>
        <w:tabs>
          <w:tab w:val="left" w:pos="0"/>
          <w:tab w:val="left" w:pos="426"/>
          <w:tab w:val="left" w:pos="709"/>
        </w:tabs>
        <w:autoSpaceDE w:val="0"/>
        <w:autoSpaceDN w:val="0"/>
        <w:adjustRightInd w:val="0"/>
        <w:spacing w:line="360" w:lineRule="auto"/>
        <w:jc w:val="both"/>
        <w:rPr>
          <w:rFonts w:ascii="Arial" w:hAnsi="Arial" w:cs="Arial"/>
          <w:b/>
          <w:i/>
        </w:rPr>
      </w:pPr>
    </w:p>
    <w:p w14:paraId="007DC9FC" w14:textId="77777777" w:rsidR="00B4250A" w:rsidRPr="00A42252" w:rsidRDefault="00B4250A" w:rsidP="00B4250A">
      <w:pPr>
        <w:tabs>
          <w:tab w:val="left" w:pos="0"/>
          <w:tab w:val="left" w:pos="426"/>
          <w:tab w:val="left" w:pos="709"/>
        </w:tabs>
        <w:autoSpaceDE w:val="0"/>
        <w:autoSpaceDN w:val="0"/>
        <w:adjustRightInd w:val="0"/>
        <w:spacing w:line="360" w:lineRule="auto"/>
        <w:jc w:val="both"/>
        <w:rPr>
          <w:rFonts w:ascii="Arial" w:hAnsi="Arial" w:cs="Arial"/>
          <w:sz w:val="22"/>
          <w:szCs w:val="22"/>
        </w:rPr>
      </w:pPr>
      <w:r w:rsidRPr="00A42252">
        <w:rPr>
          <w:rFonts w:ascii="Arial" w:hAnsi="Arial" w:cs="Arial"/>
          <w:sz w:val="22"/>
          <w:szCs w:val="22"/>
        </w:rPr>
        <w:t xml:space="preserve">Por lo anterior, puede concluirse que la tabla relacionada en el cuestionamiento PRIMERO.- de la consulta que nos ocupa, cumple con los “Lineamientos de Paridad”, al haberse determinado con anterioridad por el Consejo General del Instituto Electoral del Estado de Colima mediante resolución IEE/CG/R013/2021. </w:t>
      </w:r>
    </w:p>
    <w:p w14:paraId="74BA82B1" w14:textId="77777777" w:rsidR="00B4250A" w:rsidRPr="00A42252" w:rsidRDefault="00B4250A" w:rsidP="00B4250A">
      <w:pPr>
        <w:tabs>
          <w:tab w:val="left" w:pos="0"/>
          <w:tab w:val="left" w:pos="426"/>
          <w:tab w:val="left" w:pos="709"/>
        </w:tabs>
        <w:autoSpaceDE w:val="0"/>
        <w:autoSpaceDN w:val="0"/>
        <w:adjustRightInd w:val="0"/>
        <w:spacing w:line="360" w:lineRule="auto"/>
        <w:jc w:val="both"/>
        <w:rPr>
          <w:rFonts w:ascii="Arial" w:hAnsi="Arial" w:cs="Arial"/>
          <w:sz w:val="22"/>
          <w:szCs w:val="22"/>
        </w:rPr>
      </w:pPr>
    </w:p>
    <w:p w14:paraId="3234AF57" w14:textId="77777777" w:rsidR="00B4250A" w:rsidRDefault="00B4250A" w:rsidP="00B4250A">
      <w:pPr>
        <w:tabs>
          <w:tab w:val="left" w:pos="0"/>
          <w:tab w:val="left" w:pos="426"/>
          <w:tab w:val="left" w:pos="709"/>
        </w:tabs>
        <w:autoSpaceDE w:val="0"/>
        <w:autoSpaceDN w:val="0"/>
        <w:adjustRightInd w:val="0"/>
        <w:spacing w:line="360" w:lineRule="auto"/>
        <w:jc w:val="both"/>
        <w:rPr>
          <w:rFonts w:ascii="Arial" w:hAnsi="Arial" w:cs="Arial"/>
          <w:sz w:val="22"/>
          <w:szCs w:val="22"/>
        </w:rPr>
      </w:pPr>
      <w:r w:rsidRPr="00A42252">
        <w:rPr>
          <w:rFonts w:ascii="Arial" w:hAnsi="Arial" w:cs="Arial"/>
          <w:b/>
          <w:sz w:val="22"/>
          <w:szCs w:val="22"/>
        </w:rPr>
        <w:t>9ª.-</w:t>
      </w:r>
      <w:r>
        <w:rPr>
          <w:rFonts w:ascii="Arial" w:hAnsi="Arial" w:cs="Arial"/>
          <w:b/>
          <w:sz w:val="22"/>
          <w:szCs w:val="22"/>
        </w:rPr>
        <w:t xml:space="preserve"> </w:t>
      </w:r>
      <w:r>
        <w:rPr>
          <w:rFonts w:ascii="Arial" w:hAnsi="Arial" w:cs="Arial"/>
          <w:sz w:val="22"/>
          <w:szCs w:val="22"/>
        </w:rPr>
        <w:t>Ahora bien, res</w:t>
      </w:r>
      <w:r w:rsidR="00E65B65">
        <w:rPr>
          <w:rFonts w:ascii="Arial" w:hAnsi="Arial" w:cs="Arial"/>
          <w:sz w:val="22"/>
          <w:szCs w:val="22"/>
        </w:rPr>
        <w:t>pecto al planteamiento SEGUNDO</w:t>
      </w:r>
      <w:r>
        <w:rPr>
          <w:rFonts w:ascii="Arial" w:hAnsi="Arial" w:cs="Arial"/>
          <w:sz w:val="22"/>
          <w:szCs w:val="22"/>
        </w:rPr>
        <w:t xml:space="preserve"> de la consulta que nos ocupa se desprende que se propone dos variaciones a la conformación de la tabla plasmada en la </w:t>
      </w:r>
      <w:r>
        <w:rPr>
          <w:rFonts w:ascii="Arial" w:hAnsi="Arial" w:cs="Arial"/>
          <w:sz w:val="22"/>
          <w:szCs w:val="22"/>
        </w:rPr>
        <w:lastRenderedPageBreak/>
        <w:t xml:space="preserve">consideración 8ª. anterior, siendo la primera de éstas la variación de género en el municipio de Villa de Álvarez, en la que corresponde la postulación de un hombre por una mujer, señalándose que el motivo de lo anterior, es que la mujer que se propone en Villa de Álvarez tiene mejor rentabilidad electoral que cualquier otro candidato varón con los que cuenta el partido; y la segunda de estas variaciones es cambiar el género de la postulación en Ixtlahuacán, municipio en el cual corresponde postular a una mujer, para postular a un hombre en su lugar y por lo tanto se realiza el siguiente cuestionamiento: </w:t>
      </w:r>
    </w:p>
    <w:p w14:paraId="2A376AC2" w14:textId="77777777" w:rsidR="00B4250A" w:rsidRDefault="00B4250A" w:rsidP="00B4250A">
      <w:pPr>
        <w:tabs>
          <w:tab w:val="left" w:pos="0"/>
          <w:tab w:val="left" w:pos="426"/>
          <w:tab w:val="left" w:pos="709"/>
        </w:tabs>
        <w:autoSpaceDE w:val="0"/>
        <w:autoSpaceDN w:val="0"/>
        <w:adjustRightInd w:val="0"/>
        <w:spacing w:line="360" w:lineRule="auto"/>
        <w:jc w:val="both"/>
        <w:rPr>
          <w:rFonts w:ascii="Arial" w:hAnsi="Arial" w:cs="Arial"/>
          <w:sz w:val="22"/>
          <w:szCs w:val="22"/>
        </w:rPr>
      </w:pPr>
    </w:p>
    <w:p w14:paraId="2B075943" w14:textId="77777777" w:rsidR="00B4250A" w:rsidRDefault="00B4250A" w:rsidP="00B4250A">
      <w:pPr>
        <w:pStyle w:val="Prrafodelista"/>
        <w:numPr>
          <w:ilvl w:val="0"/>
          <w:numId w:val="6"/>
        </w:numPr>
        <w:tabs>
          <w:tab w:val="left" w:pos="0"/>
          <w:tab w:val="left" w:pos="426"/>
          <w:tab w:val="left" w:pos="709"/>
        </w:tabs>
        <w:autoSpaceDE w:val="0"/>
        <w:autoSpaceDN w:val="0"/>
        <w:adjustRightInd w:val="0"/>
        <w:spacing w:line="360" w:lineRule="auto"/>
        <w:jc w:val="both"/>
        <w:rPr>
          <w:rFonts w:ascii="Arial" w:hAnsi="Arial" w:cs="Arial"/>
          <w:b/>
          <w:i/>
        </w:rPr>
      </w:pPr>
      <w:r w:rsidRPr="008B6D71">
        <w:rPr>
          <w:rFonts w:ascii="Arial" w:hAnsi="Arial" w:cs="Arial"/>
          <w:i/>
        </w:rPr>
        <w:t xml:space="preserve">Por ello es que, consultamos respetablemente a este Órgano Electoral </w:t>
      </w:r>
      <w:r w:rsidRPr="008B6D71">
        <w:rPr>
          <w:rFonts w:ascii="Arial" w:hAnsi="Arial" w:cs="Arial"/>
          <w:b/>
          <w:i/>
        </w:rPr>
        <w:t>¿Si la anterior tabla de Ayuntamientos cumple con los lineamientos del acuerdo IEE/CG/A015/22020 (sic) del principio de paridad?</w:t>
      </w:r>
    </w:p>
    <w:p w14:paraId="53F82F70" w14:textId="77777777" w:rsidR="00E65B65" w:rsidRDefault="00E65B65" w:rsidP="00B4250A">
      <w:pPr>
        <w:tabs>
          <w:tab w:val="left" w:pos="0"/>
          <w:tab w:val="left" w:pos="426"/>
          <w:tab w:val="left" w:pos="709"/>
        </w:tabs>
        <w:autoSpaceDE w:val="0"/>
        <w:autoSpaceDN w:val="0"/>
        <w:adjustRightInd w:val="0"/>
        <w:spacing w:line="360" w:lineRule="auto"/>
        <w:jc w:val="both"/>
        <w:rPr>
          <w:rFonts w:ascii="Arial" w:hAnsi="Arial" w:cs="Arial"/>
          <w:sz w:val="22"/>
          <w:szCs w:val="22"/>
        </w:rPr>
      </w:pPr>
    </w:p>
    <w:p w14:paraId="7340BC31" w14:textId="77777777" w:rsidR="00B4250A" w:rsidRPr="00A42252" w:rsidRDefault="00B4250A" w:rsidP="00B4250A">
      <w:pPr>
        <w:tabs>
          <w:tab w:val="left" w:pos="0"/>
          <w:tab w:val="left" w:pos="426"/>
          <w:tab w:val="left" w:pos="709"/>
        </w:tabs>
        <w:autoSpaceDE w:val="0"/>
        <w:autoSpaceDN w:val="0"/>
        <w:adjustRightInd w:val="0"/>
        <w:spacing w:line="360" w:lineRule="auto"/>
        <w:jc w:val="both"/>
        <w:rPr>
          <w:rFonts w:ascii="Arial" w:hAnsi="Arial" w:cs="Arial"/>
          <w:sz w:val="22"/>
          <w:szCs w:val="22"/>
        </w:rPr>
      </w:pPr>
      <w:r w:rsidRPr="00A42252">
        <w:rPr>
          <w:rFonts w:ascii="Arial" w:hAnsi="Arial" w:cs="Arial"/>
          <w:sz w:val="22"/>
          <w:szCs w:val="22"/>
        </w:rPr>
        <w:t xml:space="preserve">Por lo anterior y a fin de entrar al análisis de los planteamientos efectuados, se procede a realizar una comparativa del género que le corresponden a cada uno de los </w:t>
      </w:r>
      <w:r>
        <w:rPr>
          <w:rFonts w:ascii="Arial" w:hAnsi="Arial" w:cs="Arial"/>
          <w:sz w:val="22"/>
          <w:szCs w:val="22"/>
        </w:rPr>
        <w:t xml:space="preserve">Ayuntamientos por los que el Partido Político MORENA no tiene celebrado Convenio de Candidatura Común, </w:t>
      </w:r>
      <w:r w:rsidRPr="00A42252">
        <w:rPr>
          <w:rFonts w:ascii="Arial" w:hAnsi="Arial" w:cs="Arial"/>
          <w:sz w:val="22"/>
          <w:szCs w:val="22"/>
        </w:rPr>
        <w:t xml:space="preserve">de conformidad con los “Lineamientos de Paridad” y las postulaciones que en cuanto a género que se consultan. </w:t>
      </w:r>
    </w:p>
    <w:p w14:paraId="19C31CA6" w14:textId="77777777" w:rsidR="00E65B65" w:rsidRDefault="00E65B65" w:rsidP="00B4250A">
      <w:pPr>
        <w:tabs>
          <w:tab w:val="left" w:pos="0"/>
          <w:tab w:val="left" w:pos="426"/>
          <w:tab w:val="left" w:pos="709"/>
        </w:tabs>
        <w:autoSpaceDE w:val="0"/>
        <w:autoSpaceDN w:val="0"/>
        <w:adjustRightInd w:val="0"/>
        <w:spacing w:line="360" w:lineRule="auto"/>
        <w:jc w:val="both"/>
        <w:rPr>
          <w:rFonts w:ascii="Arial" w:hAnsi="Arial" w:cs="Arial"/>
        </w:rPr>
      </w:pPr>
    </w:p>
    <w:p w14:paraId="6D2ED0DD" w14:textId="77777777" w:rsidR="00B4250A" w:rsidRDefault="00B4250A" w:rsidP="00E65B65">
      <w:pPr>
        <w:tabs>
          <w:tab w:val="left" w:pos="0"/>
          <w:tab w:val="left" w:pos="426"/>
          <w:tab w:val="left" w:pos="709"/>
        </w:tabs>
        <w:autoSpaceDE w:val="0"/>
        <w:autoSpaceDN w:val="0"/>
        <w:adjustRightInd w:val="0"/>
        <w:jc w:val="center"/>
        <w:rPr>
          <w:rFonts w:ascii="Arial" w:hAnsi="Arial" w:cs="Arial"/>
        </w:rPr>
      </w:pPr>
      <w:r w:rsidRPr="00E65B65">
        <w:rPr>
          <w:rFonts w:ascii="Arial" w:hAnsi="Arial" w:cs="Arial"/>
          <w:sz w:val="20"/>
        </w:rPr>
        <w:t>Tabla 2</w:t>
      </w:r>
    </w:p>
    <w:tbl>
      <w:tblPr>
        <w:tblW w:w="6051" w:type="dxa"/>
        <w:jc w:val="center"/>
        <w:shd w:val="clear" w:color="auto" w:fill="FFFFFF" w:themeFill="background1"/>
        <w:tblCellMar>
          <w:left w:w="70" w:type="dxa"/>
          <w:right w:w="70" w:type="dxa"/>
        </w:tblCellMar>
        <w:tblLook w:val="04A0" w:firstRow="1" w:lastRow="0" w:firstColumn="1" w:lastColumn="0" w:noHBand="0" w:noVBand="1"/>
      </w:tblPr>
      <w:tblGrid>
        <w:gridCol w:w="1985"/>
        <w:gridCol w:w="2365"/>
        <w:gridCol w:w="1701"/>
      </w:tblGrid>
      <w:tr w:rsidR="00B4250A" w:rsidRPr="000B174C" w14:paraId="7374FCE3" w14:textId="77777777" w:rsidTr="007F0F5E">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380F8FD8" w14:textId="77777777" w:rsidR="00B4250A" w:rsidRPr="000B174C" w:rsidRDefault="00B4250A" w:rsidP="007F0F5E">
            <w:pPr>
              <w:jc w:val="center"/>
              <w:rPr>
                <w:rFonts w:ascii="Arial" w:hAnsi="Arial" w:cs="Arial"/>
                <w:b/>
                <w:bCs/>
                <w:sz w:val="22"/>
                <w:szCs w:val="22"/>
              </w:rPr>
            </w:pPr>
            <w:r>
              <w:rPr>
                <w:rFonts w:ascii="Arial" w:hAnsi="Arial" w:cs="Arial"/>
                <w:b/>
                <w:bCs/>
                <w:sz w:val="22"/>
                <w:szCs w:val="22"/>
              </w:rPr>
              <w:t>MORENA</w:t>
            </w:r>
          </w:p>
        </w:tc>
        <w:tc>
          <w:tcPr>
            <w:tcW w:w="2365"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480E1820" w14:textId="3A90FEB1" w:rsidR="00B4250A" w:rsidRPr="000B174C" w:rsidRDefault="00B4250A" w:rsidP="007F0F5E">
            <w:pPr>
              <w:jc w:val="center"/>
              <w:rPr>
                <w:rFonts w:ascii="Arial" w:hAnsi="Arial" w:cs="Arial"/>
                <w:b/>
                <w:bCs/>
                <w:sz w:val="22"/>
                <w:szCs w:val="22"/>
              </w:rPr>
            </w:pPr>
            <w:r>
              <w:rPr>
                <w:rFonts w:ascii="Arial" w:hAnsi="Arial" w:cs="Arial"/>
                <w:b/>
                <w:bCs/>
                <w:sz w:val="22"/>
                <w:szCs w:val="22"/>
              </w:rPr>
              <w:t>GÉNERO QUE CORRESPONDE SEGÚN LOS</w:t>
            </w:r>
            <w:r w:rsidR="007F0F5E">
              <w:rPr>
                <w:rFonts w:ascii="Arial" w:hAnsi="Arial" w:cs="Arial"/>
                <w:b/>
                <w:bCs/>
                <w:sz w:val="22"/>
                <w:szCs w:val="22"/>
              </w:rPr>
              <w:t xml:space="preserve"> </w:t>
            </w:r>
            <w:r>
              <w:rPr>
                <w:rFonts w:ascii="Arial" w:hAnsi="Arial" w:cs="Arial"/>
                <w:b/>
                <w:bCs/>
                <w:sz w:val="22"/>
                <w:szCs w:val="22"/>
              </w:rPr>
              <w:t>“LINEAMIENTOS DE PARIDAD”</w:t>
            </w:r>
          </w:p>
        </w:tc>
        <w:tc>
          <w:tcPr>
            <w:tcW w:w="1701"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5FC0687A" w14:textId="77777777" w:rsidR="00B4250A" w:rsidRPr="000B174C" w:rsidRDefault="00B4250A" w:rsidP="007F0F5E">
            <w:pPr>
              <w:jc w:val="center"/>
              <w:rPr>
                <w:rFonts w:ascii="Arial" w:hAnsi="Arial" w:cs="Arial"/>
                <w:b/>
                <w:bCs/>
                <w:sz w:val="22"/>
                <w:szCs w:val="22"/>
              </w:rPr>
            </w:pPr>
            <w:r>
              <w:rPr>
                <w:rFonts w:ascii="Arial" w:hAnsi="Arial" w:cs="Arial"/>
                <w:b/>
                <w:bCs/>
                <w:sz w:val="22"/>
                <w:szCs w:val="22"/>
              </w:rPr>
              <w:t>GÉNERO SOBRE EL QUE SE CONSULTA</w:t>
            </w:r>
          </w:p>
        </w:tc>
      </w:tr>
      <w:tr w:rsidR="00B4250A" w:rsidRPr="000B174C" w14:paraId="7FDB14BA" w14:textId="77777777" w:rsidTr="00300DB0">
        <w:trPr>
          <w:trHeight w:val="300"/>
          <w:jc w:val="center"/>
        </w:trPr>
        <w:tc>
          <w:tcPr>
            <w:tcW w:w="6051"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6A16983C" w14:textId="77777777" w:rsidR="00B4250A" w:rsidRPr="000B174C" w:rsidRDefault="00B4250A" w:rsidP="00300DB0">
            <w:pPr>
              <w:jc w:val="center"/>
              <w:rPr>
                <w:rFonts w:ascii="Arial" w:hAnsi="Arial" w:cs="Arial"/>
                <w:b/>
                <w:sz w:val="22"/>
                <w:szCs w:val="22"/>
              </w:rPr>
            </w:pPr>
            <w:r w:rsidRPr="000B174C">
              <w:rPr>
                <w:rFonts w:ascii="Arial" w:hAnsi="Arial" w:cs="Arial"/>
                <w:b/>
                <w:sz w:val="22"/>
                <w:szCs w:val="22"/>
              </w:rPr>
              <w:t>BLOQUE DE COMPETITIVIDAD ALTA</w:t>
            </w:r>
          </w:p>
        </w:tc>
      </w:tr>
      <w:tr w:rsidR="00B4250A" w:rsidRPr="000B174C" w14:paraId="529CB0A5" w14:textId="77777777" w:rsidTr="00300DB0">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B72918" w14:textId="77777777" w:rsidR="00B4250A" w:rsidRPr="000B174C" w:rsidRDefault="00B4250A" w:rsidP="00300DB0">
            <w:pPr>
              <w:rPr>
                <w:rFonts w:ascii="Arial" w:hAnsi="Arial" w:cs="Arial"/>
                <w:sz w:val="22"/>
                <w:szCs w:val="22"/>
              </w:rPr>
            </w:pPr>
            <w:r>
              <w:rPr>
                <w:rFonts w:ascii="Arial" w:hAnsi="Arial" w:cs="Arial"/>
                <w:sz w:val="22"/>
                <w:szCs w:val="22"/>
              </w:rPr>
              <w:t>Armería</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17B04B92" w14:textId="77777777" w:rsidR="00B4250A" w:rsidRPr="000B174C" w:rsidRDefault="00B4250A" w:rsidP="00300DB0">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614FEF50" w14:textId="77777777" w:rsidR="00B4250A" w:rsidRPr="000B174C" w:rsidRDefault="00B4250A" w:rsidP="00300DB0">
            <w:pPr>
              <w:jc w:val="center"/>
              <w:rPr>
                <w:rFonts w:ascii="Arial" w:hAnsi="Arial" w:cs="Arial"/>
                <w:sz w:val="22"/>
                <w:szCs w:val="22"/>
              </w:rPr>
            </w:pPr>
            <w:r>
              <w:rPr>
                <w:rFonts w:ascii="Arial" w:hAnsi="Arial" w:cs="Arial"/>
                <w:sz w:val="22"/>
                <w:szCs w:val="22"/>
              </w:rPr>
              <w:t>MUJER</w:t>
            </w:r>
          </w:p>
        </w:tc>
      </w:tr>
      <w:tr w:rsidR="00B4250A" w:rsidRPr="000B174C" w14:paraId="4782AC7F" w14:textId="77777777" w:rsidTr="00300DB0">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03188F3" w14:textId="77777777" w:rsidR="00B4250A" w:rsidRPr="000B174C" w:rsidRDefault="00B4250A" w:rsidP="00300DB0">
            <w:pPr>
              <w:rPr>
                <w:rFonts w:ascii="Arial" w:hAnsi="Arial" w:cs="Arial"/>
                <w:sz w:val="22"/>
                <w:szCs w:val="22"/>
              </w:rPr>
            </w:pPr>
            <w:r>
              <w:rPr>
                <w:rFonts w:ascii="Arial" w:hAnsi="Arial" w:cs="Arial"/>
                <w:sz w:val="22"/>
                <w:szCs w:val="22"/>
              </w:rPr>
              <w:t>Tecomán</w:t>
            </w:r>
          </w:p>
        </w:tc>
        <w:tc>
          <w:tcPr>
            <w:tcW w:w="2365" w:type="dxa"/>
            <w:tcBorders>
              <w:top w:val="nil"/>
              <w:left w:val="nil"/>
              <w:bottom w:val="single" w:sz="4" w:space="0" w:color="auto"/>
              <w:right w:val="single" w:sz="4" w:space="0" w:color="auto"/>
            </w:tcBorders>
            <w:shd w:val="clear" w:color="auto" w:fill="EDEDED" w:themeFill="accent3" w:themeFillTint="33"/>
            <w:noWrap/>
            <w:vAlign w:val="bottom"/>
          </w:tcPr>
          <w:p w14:paraId="675FB867" w14:textId="77777777" w:rsidR="00B4250A" w:rsidRPr="000B174C" w:rsidRDefault="00B4250A" w:rsidP="00300DB0">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EDEDED" w:themeFill="accent3" w:themeFillTint="33"/>
            <w:noWrap/>
            <w:vAlign w:val="bottom"/>
          </w:tcPr>
          <w:p w14:paraId="5E32375C" w14:textId="77777777" w:rsidR="00B4250A" w:rsidRPr="000B174C" w:rsidRDefault="00B4250A" w:rsidP="00300DB0">
            <w:pPr>
              <w:jc w:val="center"/>
              <w:rPr>
                <w:rFonts w:ascii="Arial" w:hAnsi="Arial" w:cs="Arial"/>
                <w:sz w:val="22"/>
                <w:szCs w:val="22"/>
              </w:rPr>
            </w:pPr>
            <w:r>
              <w:rPr>
                <w:rFonts w:ascii="Arial" w:hAnsi="Arial" w:cs="Arial"/>
                <w:sz w:val="22"/>
                <w:szCs w:val="22"/>
              </w:rPr>
              <w:t>HOMBRE</w:t>
            </w:r>
          </w:p>
        </w:tc>
      </w:tr>
      <w:tr w:rsidR="00B4250A" w:rsidRPr="000B174C" w14:paraId="2579DDB5" w14:textId="77777777" w:rsidTr="00300DB0">
        <w:trPr>
          <w:trHeight w:val="300"/>
          <w:jc w:val="center"/>
        </w:trPr>
        <w:tc>
          <w:tcPr>
            <w:tcW w:w="6051"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B206970" w14:textId="77777777" w:rsidR="00B4250A" w:rsidRPr="000B174C" w:rsidRDefault="00B4250A" w:rsidP="00300DB0">
            <w:pPr>
              <w:jc w:val="center"/>
              <w:rPr>
                <w:rFonts w:ascii="Arial" w:hAnsi="Arial" w:cs="Arial"/>
                <w:b/>
                <w:sz w:val="22"/>
                <w:szCs w:val="22"/>
              </w:rPr>
            </w:pPr>
            <w:r w:rsidRPr="000B174C">
              <w:rPr>
                <w:rFonts w:ascii="Arial" w:hAnsi="Arial" w:cs="Arial"/>
                <w:b/>
                <w:sz w:val="22"/>
                <w:szCs w:val="22"/>
              </w:rPr>
              <w:t>BLOQUE DE COMPETITIVIDAD MEDIA</w:t>
            </w:r>
          </w:p>
        </w:tc>
      </w:tr>
      <w:tr w:rsidR="00B4250A" w:rsidRPr="000B174C" w14:paraId="41ACDA57" w14:textId="77777777" w:rsidTr="00300DB0">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3B3182" w14:textId="77777777" w:rsidR="00B4250A" w:rsidRPr="000B174C" w:rsidRDefault="00B4250A" w:rsidP="00300DB0">
            <w:pPr>
              <w:rPr>
                <w:rFonts w:ascii="Arial" w:hAnsi="Arial" w:cs="Arial"/>
                <w:sz w:val="22"/>
                <w:szCs w:val="22"/>
              </w:rPr>
            </w:pPr>
            <w:r>
              <w:rPr>
                <w:rFonts w:ascii="Arial" w:hAnsi="Arial" w:cs="Arial"/>
                <w:sz w:val="22"/>
                <w:szCs w:val="22"/>
              </w:rPr>
              <w:t>Manzanillo</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2CE73061" w14:textId="77777777" w:rsidR="00B4250A" w:rsidRPr="000B174C" w:rsidRDefault="00B4250A" w:rsidP="00300DB0">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3C37BF26" w14:textId="77777777" w:rsidR="00B4250A" w:rsidRPr="000B174C" w:rsidRDefault="00B4250A" w:rsidP="00300DB0">
            <w:pPr>
              <w:jc w:val="center"/>
              <w:rPr>
                <w:rFonts w:ascii="Arial" w:hAnsi="Arial" w:cs="Arial"/>
                <w:sz w:val="22"/>
                <w:szCs w:val="22"/>
              </w:rPr>
            </w:pPr>
            <w:r>
              <w:rPr>
                <w:rFonts w:ascii="Arial" w:hAnsi="Arial" w:cs="Arial"/>
                <w:sz w:val="22"/>
                <w:szCs w:val="22"/>
              </w:rPr>
              <w:t>MUJER</w:t>
            </w:r>
          </w:p>
        </w:tc>
      </w:tr>
      <w:tr w:rsidR="00B4250A" w:rsidRPr="000B174C" w14:paraId="6D638968" w14:textId="77777777" w:rsidTr="00300DB0">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F4104AA" w14:textId="77777777" w:rsidR="00B4250A" w:rsidRPr="000B174C" w:rsidRDefault="00B4250A" w:rsidP="00300DB0">
            <w:pPr>
              <w:rPr>
                <w:rFonts w:ascii="Arial" w:hAnsi="Arial" w:cs="Arial"/>
                <w:sz w:val="22"/>
                <w:szCs w:val="22"/>
              </w:rPr>
            </w:pPr>
            <w:r>
              <w:rPr>
                <w:rFonts w:ascii="Arial" w:hAnsi="Arial" w:cs="Arial"/>
                <w:sz w:val="22"/>
                <w:szCs w:val="22"/>
              </w:rPr>
              <w:t>Villa de Álvarez</w:t>
            </w:r>
          </w:p>
        </w:tc>
        <w:tc>
          <w:tcPr>
            <w:tcW w:w="2365" w:type="dxa"/>
            <w:tcBorders>
              <w:top w:val="nil"/>
              <w:left w:val="nil"/>
              <w:bottom w:val="single" w:sz="4" w:space="0" w:color="auto"/>
              <w:right w:val="single" w:sz="4" w:space="0" w:color="auto"/>
            </w:tcBorders>
            <w:shd w:val="clear" w:color="auto" w:fill="EDEDED" w:themeFill="accent3" w:themeFillTint="33"/>
            <w:noWrap/>
            <w:vAlign w:val="bottom"/>
          </w:tcPr>
          <w:p w14:paraId="1C5CA50F" w14:textId="77777777" w:rsidR="00B4250A" w:rsidRPr="000B174C" w:rsidRDefault="00B4250A" w:rsidP="00300DB0">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EDEDED" w:themeFill="accent3" w:themeFillTint="33"/>
            <w:noWrap/>
            <w:vAlign w:val="bottom"/>
          </w:tcPr>
          <w:p w14:paraId="2934E5E0" w14:textId="77777777" w:rsidR="00B4250A" w:rsidRPr="000B174C" w:rsidRDefault="00B4250A" w:rsidP="00300DB0">
            <w:pPr>
              <w:jc w:val="center"/>
              <w:rPr>
                <w:rFonts w:ascii="Arial" w:hAnsi="Arial" w:cs="Arial"/>
                <w:sz w:val="22"/>
                <w:szCs w:val="22"/>
              </w:rPr>
            </w:pPr>
            <w:r>
              <w:rPr>
                <w:rFonts w:ascii="Arial" w:hAnsi="Arial" w:cs="Arial"/>
                <w:sz w:val="22"/>
                <w:szCs w:val="22"/>
              </w:rPr>
              <w:t>MUJER</w:t>
            </w:r>
          </w:p>
        </w:tc>
      </w:tr>
      <w:tr w:rsidR="00B4250A" w:rsidRPr="000B174C" w14:paraId="445DFC93" w14:textId="77777777" w:rsidTr="00300DB0">
        <w:trPr>
          <w:trHeight w:val="300"/>
          <w:jc w:val="center"/>
        </w:trPr>
        <w:tc>
          <w:tcPr>
            <w:tcW w:w="6051"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1E9B3C1E" w14:textId="77777777" w:rsidR="00B4250A" w:rsidRPr="000B174C" w:rsidRDefault="00B4250A" w:rsidP="00300DB0">
            <w:pPr>
              <w:jc w:val="center"/>
              <w:rPr>
                <w:rFonts w:ascii="Arial" w:hAnsi="Arial" w:cs="Arial"/>
                <w:b/>
                <w:sz w:val="22"/>
                <w:szCs w:val="22"/>
              </w:rPr>
            </w:pPr>
            <w:r w:rsidRPr="000B174C">
              <w:rPr>
                <w:rFonts w:ascii="Arial" w:hAnsi="Arial" w:cs="Arial"/>
                <w:b/>
                <w:sz w:val="22"/>
                <w:szCs w:val="22"/>
              </w:rPr>
              <w:t>BLOQUE DE COMPETITIVIDAD BAJA</w:t>
            </w:r>
          </w:p>
        </w:tc>
      </w:tr>
      <w:tr w:rsidR="00B4250A" w:rsidRPr="000B174C" w14:paraId="1F556A38" w14:textId="77777777" w:rsidTr="00300DB0">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tcPr>
          <w:p w14:paraId="64AF7DA6" w14:textId="77777777" w:rsidR="00B4250A" w:rsidRPr="000B174C" w:rsidRDefault="00B4250A" w:rsidP="00300DB0">
            <w:pPr>
              <w:rPr>
                <w:rFonts w:ascii="Arial" w:hAnsi="Arial" w:cs="Arial"/>
                <w:sz w:val="22"/>
                <w:szCs w:val="22"/>
              </w:rPr>
            </w:pPr>
            <w:r>
              <w:rPr>
                <w:rFonts w:ascii="Arial" w:hAnsi="Arial" w:cs="Arial"/>
                <w:sz w:val="22"/>
                <w:szCs w:val="22"/>
              </w:rPr>
              <w:t>Ixtlahuacán</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3B7438E0" w14:textId="77777777" w:rsidR="00B4250A" w:rsidRPr="000B174C" w:rsidRDefault="00B4250A" w:rsidP="00300DB0">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74B6AE9B" w14:textId="77777777" w:rsidR="00B4250A" w:rsidRPr="000B174C" w:rsidRDefault="00B4250A" w:rsidP="00300DB0">
            <w:pPr>
              <w:jc w:val="center"/>
              <w:rPr>
                <w:rFonts w:ascii="Arial" w:hAnsi="Arial" w:cs="Arial"/>
                <w:sz w:val="22"/>
                <w:szCs w:val="22"/>
              </w:rPr>
            </w:pPr>
            <w:r>
              <w:rPr>
                <w:rFonts w:ascii="Arial" w:hAnsi="Arial" w:cs="Arial"/>
                <w:sz w:val="22"/>
                <w:szCs w:val="22"/>
              </w:rPr>
              <w:t>HOMBRE</w:t>
            </w:r>
          </w:p>
        </w:tc>
      </w:tr>
      <w:tr w:rsidR="00B4250A" w:rsidRPr="000B174C" w14:paraId="05BF83DC" w14:textId="77777777" w:rsidTr="00300DB0">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tcPr>
          <w:p w14:paraId="2AD8AE34" w14:textId="77777777" w:rsidR="00B4250A" w:rsidRPr="000B174C" w:rsidRDefault="00B4250A" w:rsidP="00300DB0">
            <w:pPr>
              <w:rPr>
                <w:rFonts w:ascii="Arial" w:hAnsi="Arial" w:cs="Arial"/>
                <w:sz w:val="22"/>
                <w:szCs w:val="22"/>
              </w:rPr>
            </w:pPr>
            <w:r>
              <w:rPr>
                <w:rFonts w:ascii="Arial" w:hAnsi="Arial" w:cs="Arial"/>
                <w:sz w:val="22"/>
                <w:szCs w:val="22"/>
              </w:rPr>
              <w:t>Minatitlán</w:t>
            </w:r>
          </w:p>
        </w:tc>
        <w:tc>
          <w:tcPr>
            <w:tcW w:w="2365" w:type="dxa"/>
            <w:tcBorders>
              <w:top w:val="nil"/>
              <w:left w:val="nil"/>
              <w:bottom w:val="single" w:sz="4" w:space="0" w:color="auto"/>
              <w:right w:val="single" w:sz="4" w:space="0" w:color="auto"/>
            </w:tcBorders>
            <w:shd w:val="clear" w:color="auto" w:fill="EDEDED" w:themeFill="accent3" w:themeFillTint="33"/>
            <w:noWrap/>
            <w:vAlign w:val="bottom"/>
          </w:tcPr>
          <w:p w14:paraId="559FBBC9" w14:textId="77777777" w:rsidR="00B4250A" w:rsidRPr="000B174C" w:rsidRDefault="00B4250A" w:rsidP="00300DB0">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EDEDED" w:themeFill="accent3" w:themeFillTint="33"/>
            <w:noWrap/>
            <w:vAlign w:val="bottom"/>
          </w:tcPr>
          <w:p w14:paraId="6BF3DF04" w14:textId="77777777" w:rsidR="00B4250A" w:rsidRPr="000B174C" w:rsidRDefault="00B4250A" w:rsidP="00300DB0">
            <w:pPr>
              <w:jc w:val="center"/>
              <w:rPr>
                <w:rFonts w:ascii="Arial" w:hAnsi="Arial" w:cs="Arial"/>
                <w:sz w:val="22"/>
                <w:szCs w:val="22"/>
              </w:rPr>
            </w:pPr>
            <w:r>
              <w:rPr>
                <w:rFonts w:ascii="Arial" w:hAnsi="Arial" w:cs="Arial"/>
                <w:sz w:val="22"/>
                <w:szCs w:val="22"/>
              </w:rPr>
              <w:t xml:space="preserve">HOMBRE </w:t>
            </w:r>
          </w:p>
        </w:tc>
      </w:tr>
    </w:tbl>
    <w:p w14:paraId="1F323583" w14:textId="77777777" w:rsidR="00B4250A" w:rsidRDefault="00B4250A" w:rsidP="00B4250A">
      <w:pPr>
        <w:tabs>
          <w:tab w:val="left" w:pos="0"/>
          <w:tab w:val="left" w:pos="426"/>
          <w:tab w:val="left" w:pos="709"/>
        </w:tabs>
        <w:autoSpaceDE w:val="0"/>
        <w:autoSpaceDN w:val="0"/>
        <w:adjustRightInd w:val="0"/>
        <w:spacing w:line="360" w:lineRule="auto"/>
        <w:jc w:val="both"/>
        <w:rPr>
          <w:rFonts w:ascii="Arial" w:hAnsi="Arial" w:cs="Arial"/>
        </w:rPr>
      </w:pPr>
    </w:p>
    <w:p w14:paraId="643BAAF8" w14:textId="77777777" w:rsidR="00B4250A" w:rsidRDefault="00B4250A" w:rsidP="00B4250A">
      <w:pPr>
        <w:autoSpaceDE w:val="0"/>
        <w:autoSpaceDN w:val="0"/>
        <w:adjustRightInd w:val="0"/>
        <w:spacing w:line="360" w:lineRule="auto"/>
        <w:jc w:val="both"/>
        <w:rPr>
          <w:rFonts w:ascii="Arial" w:hAnsi="Arial" w:cs="Arial"/>
          <w:sz w:val="22"/>
          <w:szCs w:val="22"/>
        </w:rPr>
      </w:pPr>
      <w:r>
        <w:rPr>
          <w:rFonts w:ascii="Arial" w:eastAsiaTheme="minorHAnsi" w:hAnsi="Arial" w:cs="Arial"/>
          <w:sz w:val="22"/>
          <w:szCs w:val="22"/>
          <w:lang w:eastAsia="en-US"/>
        </w:rPr>
        <w:lastRenderedPageBreak/>
        <w:t>Ahora bien, p</w:t>
      </w:r>
      <w:r w:rsidRPr="000B174C">
        <w:rPr>
          <w:rFonts w:ascii="Arial" w:eastAsiaTheme="minorHAnsi" w:hAnsi="Arial" w:cs="Arial"/>
          <w:sz w:val="22"/>
          <w:szCs w:val="22"/>
          <w:lang w:eastAsia="en-US"/>
        </w:rPr>
        <w:t xml:space="preserve">ara el caso de candidaturas a </w:t>
      </w:r>
      <w:r>
        <w:rPr>
          <w:rFonts w:ascii="Arial" w:eastAsiaTheme="minorHAnsi" w:hAnsi="Arial" w:cs="Arial"/>
          <w:sz w:val="22"/>
          <w:szCs w:val="22"/>
          <w:lang w:eastAsia="en-US"/>
        </w:rPr>
        <w:t xml:space="preserve">miembros de Ayuntamientos, </w:t>
      </w:r>
      <w:r w:rsidRPr="000B174C">
        <w:rPr>
          <w:rFonts w:ascii="Arial" w:eastAsiaTheme="minorHAnsi" w:hAnsi="Arial" w:cs="Arial"/>
          <w:sz w:val="22"/>
          <w:szCs w:val="22"/>
          <w:lang w:eastAsia="en-US"/>
        </w:rPr>
        <w:t>los partidos políticos, coaliciones y candidaturas comunes, tendrán que observar el principio de paridad de</w:t>
      </w:r>
      <w:r>
        <w:rPr>
          <w:rFonts w:ascii="Arial" w:eastAsiaTheme="minorHAnsi" w:hAnsi="Arial" w:cs="Arial"/>
          <w:sz w:val="22"/>
          <w:szCs w:val="22"/>
          <w:lang w:eastAsia="en-US"/>
        </w:rPr>
        <w:t xml:space="preserve"> género conforme al </w:t>
      </w:r>
      <w:r>
        <w:rPr>
          <w:rFonts w:ascii="Arial" w:hAnsi="Arial" w:cs="Arial"/>
          <w:sz w:val="22"/>
          <w:szCs w:val="22"/>
        </w:rPr>
        <w:t>Artículo 11, inciso c) numerales 4 y 8 De los “Lineamientos de Paridad”,</w:t>
      </w:r>
      <w:r w:rsidR="00E65B65">
        <w:rPr>
          <w:rFonts w:ascii="Arial" w:hAnsi="Arial" w:cs="Arial"/>
          <w:sz w:val="22"/>
          <w:szCs w:val="22"/>
        </w:rPr>
        <w:t xml:space="preserve"> que </w:t>
      </w:r>
      <w:r>
        <w:rPr>
          <w:rFonts w:ascii="Arial" w:hAnsi="Arial" w:cs="Arial"/>
          <w:sz w:val="22"/>
          <w:szCs w:val="22"/>
        </w:rPr>
        <w:t xml:space="preserve">señala textualmente lo siguiente: </w:t>
      </w:r>
    </w:p>
    <w:p w14:paraId="601AD7C4" w14:textId="77777777" w:rsidR="00B4250A" w:rsidRDefault="00B4250A" w:rsidP="00B4250A">
      <w:pPr>
        <w:pStyle w:val="Sinespaciado"/>
        <w:spacing w:line="360" w:lineRule="auto"/>
        <w:jc w:val="both"/>
        <w:rPr>
          <w:rFonts w:ascii="Arial" w:hAnsi="Arial" w:cs="Arial"/>
          <w:sz w:val="22"/>
          <w:szCs w:val="22"/>
        </w:rPr>
      </w:pPr>
    </w:p>
    <w:p w14:paraId="00D454B8" w14:textId="77777777" w:rsidR="00B4250A" w:rsidRPr="007456F7" w:rsidRDefault="00B4250A" w:rsidP="00E65B65">
      <w:pPr>
        <w:autoSpaceDE w:val="0"/>
        <w:autoSpaceDN w:val="0"/>
        <w:adjustRightInd w:val="0"/>
        <w:spacing w:line="360" w:lineRule="auto"/>
        <w:ind w:left="567" w:right="567"/>
        <w:jc w:val="both"/>
        <w:rPr>
          <w:rFonts w:ascii="Arial" w:eastAsiaTheme="minorHAnsi" w:hAnsi="Arial" w:cs="Arial"/>
          <w:i/>
          <w:sz w:val="22"/>
          <w:szCs w:val="22"/>
          <w:lang w:eastAsia="en-US"/>
        </w:rPr>
      </w:pPr>
      <w:r>
        <w:rPr>
          <w:rFonts w:ascii="Arial" w:eastAsiaTheme="minorHAnsi" w:hAnsi="Arial" w:cs="Arial"/>
          <w:b/>
          <w:bCs/>
          <w:i/>
          <w:sz w:val="22"/>
          <w:szCs w:val="22"/>
          <w:lang w:eastAsia="en-US"/>
        </w:rPr>
        <w:t>“</w:t>
      </w:r>
      <w:r w:rsidRPr="007456F7">
        <w:rPr>
          <w:rFonts w:ascii="Arial" w:eastAsiaTheme="minorHAnsi" w:hAnsi="Arial" w:cs="Arial"/>
          <w:b/>
          <w:bCs/>
          <w:i/>
          <w:sz w:val="22"/>
          <w:szCs w:val="22"/>
          <w:lang w:eastAsia="en-US"/>
        </w:rPr>
        <w:t>Artículo 11.</w:t>
      </w:r>
      <w:r w:rsidRPr="007456F7">
        <w:rPr>
          <w:rFonts w:ascii="Arial" w:eastAsiaTheme="minorHAnsi" w:hAnsi="Arial" w:cs="Arial"/>
          <w:i/>
          <w:sz w:val="22"/>
          <w:szCs w:val="22"/>
          <w:lang w:eastAsia="en-US"/>
        </w:rPr>
        <w:t xml:space="preserve"> Para el caso del registro de Planillas de ayuntamiento, los partidos políticos, coaliciones, candidaturas comunes, y en su caso, las candidaturas independientes, tendrán que observar el principio de paridad de género conforme a lo siguiente:</w:t>
      </w:r>
    </w:p>
    <w:p w14:paraId="6CC2DA80" w14:textId="77777777" w:rsidR="00B4250A" w:rsidRPr="007456F7" w:rsidRDefault="00B4250A" w:rsidP="00E65B65">
      <w:pPr>
        <w:pStyle w:val="Sinespaciado"/>
        <w:spacing w:line="360" w:lineRule="auto"/>
        <w:ind w:left="567" w:right="567"/>
        <w:jc w:val="both"/>
        <w:rPr>
          <w:rFonts w:ascii="Arial" w:hAnsi="Arial" w:cs="Arial"/>
          <w:i/>
          <w:sz w:val="22"/>
          <w:szCs w:val="22"/>
        </w:rPr>
      </w:pPr>
      <w:r w:rsidRPr="007456F7">
        <w:rPr>
          <w:rFonts w:ascii="Arial" w:hAnsi="Arial" w:cs="Arial"/>
          <w:i/>
          <w:sz w:val="22"/>
          <w:szCs w:val="22"/>
        </w:rPr>
        <w:t>…</w:t>
      </w:r>
    </w:p>
    <w:p w14:paraId="0A456188" w14:textId="77777777" w:rsidR="00B4250A" w:rsidRPr="007456F7" w:rsidRDefault="00B4250A" w:rsidP="00E65B65">
      <w:pPr>
        <w:pStyle w:val="Sinespaciado"/>
        <w:spacing w:line="360" w:lineRule="auto"/>
        <w:ind w:left="567" w:right="567"/>
        <w:jc w:val="both"/>
        <w:rPr>
          <w:rFonts w:ascii="Arial" w:hAnsi="Arial" w:cs="Arial"/>
          <w:i/>
          <w:sz w:val="22"/>
          <w:szCs w:val="22"/>
        </w:rPr>
      </w:pPr>
      <w:r w:rsidRPr="007456F7">
        <w:rPr>
          <w:rFonts w:ascii="Arial" w:hAnsi="Arial" w:cs="Arial"/>
          <w:i/>
          <w:sz w:val="22"/>
          <w:szCs w:val="22"/>
        </w:rPr>
        <w:t>…</w:t>
      </w:r>
    </w:p>
    <w:p w14:paraId="22BB552E" w14:textId="77777777" w:rsidR="00B4250A" w:rsidRPr="007456F7" w:rsidRDefault="00B4250A" w:rsidP="00E65B65">
      <w:pPr>
        <w:pStyle w:val="Sinespaciado"/>
        <w:spacing w:line="360" w:lineRule="auto"/>
        <w:ind w:left="567" w:right="567"/>
        <w:jc w:val="both"/>
        <w:rPr>
          <w:rFonts w:ascii="Arial" w:hAnsi="Arial" w:cs="Arial"/>
          <w:i/>
          <w:sz w:val="22"/>
          <w:szCs w:val="22"/>
        </w:rPr>
      </w:pPr>
      <w:r w:rsidRPr="007456F7">
        <w:rPr>
          <w:rFonts w:ascii="Arial" w:hAnsi="Arial" w:cs="Arial"/>
          <w:i/>
          <w:sz w:val="22"/>
          <w:szCs w:val="22"/>
        </w:rPr>
        <w:t>…</w:t>
      </w:r>
    </w:p>
    <w:p w14:paraId="07BF9716" w14:textId="77777777" w:rsidR="00B4250A" w:rsidRPr="007456F7" w:rsidRDefault="00B4250A" w:rsidP="00E65B65">
      <w:pPr>
        <w:pStyle w:val="Sinespaciado"/>
        <w:spacing w:line="360" w:lineRule="auto"/>
        <w:ind w:left="567" w:right="567"/>
        <w:jc w:val="both"/>
        <w:rPr>
          <w:rFonts w:ascii="Arial" w:hAnsi="Arial" w:cs="Arial"/>
          <w:i/>
          <w:sz w:val="22"/>
          <w:szCs w:val="22"/>
        </w:rPr>
      </w:pPr>
      <w:r w:rsidRPr="007456F7">
        <w:rPr>
          <w:rFonts w:ascii="Arial" w:hAnsi="Arial" w:cs="Arial"/>
          <w:i/>
          <w:sz w:val="22"/>
          <w:szCs w:val="22"/>
        </w:rPr>
        <w:t>…</w:t>
      </w:r>
    </w:p>
    <w:p w14:paraId="5C13E482" w14:textId="77777777" w:rsidR="00B4250A" w:rsidRPr="009D6B98" w:rsidRDefault="00B4250A" w:rsidP="00E65B65">
      <w:pPr>
        <w:pStyle w:val="Prrafodelista"/>
        <w:numPr>
          <w:ilvl w:val="0"/>
          <w:numId w:val="4"/>
        </w:numPr>
        <w:autoSpaceDE w:val="0"/>
        <w:autoSpaceDN w:val="0"/>
        <w:adjustRightInd w:val="0"/>
        <w:spacing w:line="360" w:lineRule="auto"/>
        <w:ind w:left="567" w:right="567" w:firstLine="0"/>
        <w:contextualSpacing/>
        <w:jc w:val="both"/>
        <w:rPr>
          <w:rFonts w:ascii="Arial" w:hAnsi="Arial" w:cs="Arial"/>
          <w:i/>
          <w:lang w:val="es-CO"/>
        </w:rPr>
      </w:pPr>
      <w:r w:rsidRPr="009D6B98">
        <w:rPr>
          <w:rFonts w:ascii="Arial" w:hAnsi="Arial" w:cs="Arial"/>
          <w:i/>
          <w:lang w:val="es-CO"/>
        </w:rPr>
        <w:t xml:space="preserve">Se establecen los Bloques de competitividad, a fin de procurar la paridad de género transversal, conforme a lo siguiente: </w:t>
      </w:r>
    </w:p>
    <w:p w14:paraId="02322DF1" w14:textId="77777777" w:rsidR="00B4250A" w:rsidRPr="00913283" w:rsidRDefault="00B4250A" w:rsidP="00E65B65">
      <w:pPr>
        <w:pStyle w:val="Prrafodelista"/>
        <w:autoSpaceDE w:val="0"/>
        <w:autoSpaceDN w:val="0"/>
        <w:adjustRightInd w:val="0"/>
        <w:spacing w:line="360" w:lineRule="auto"/>
        <w:ind w:left="567" w:right="567"/>
        <w:contextualSpacing/>
        <w:jc w:val="both"/>
        <w:rPr>
          <w:rFonts w:ascii="Arial" w:hAnsi="Arial" w:cs="Arial"/>
          <w:i/>
          <w:lang w:val="es-CO"/>
        </w:rPr>
      </w:pPr>
      <w:r w:rsidRPr="00913283">
        <w:rPr>
          <w:rFonts w:ascii="Arial" w:hAnsi="Arial" w:cs="Arial"/>
          <w:i/>
          <w:lang w:val="es-CO"/>
        </w:rPr>
        <w:t>…</w:t>
      </w:r>
    </w:p>
    <w:p w14:paraId="5A191A71" w14:textId="77777777" w:rsidR="00B4250A" w:rsidRPr="00913283" w:rsidRDefault="00B4250A" w:rsidP="00E65B65">
      <w:pPr>
        <w:pStyle w:val="Prrafodelista"/>
        <w:autoSpaceDE w:val="0"/>
        <w:autoSpaceDN w:val="0"/>
        <w:adjustRightInd w:val="0"/>
        <w:spacing w:line="360" w:lineRule="auto"/>
        <w:ind w:left="567" w:right="567"/>
        <w:contextualSpacing/>
        <w:jc w:val="both"/>
        <w:rPr>
          <w:rFonts w:ascii="Arial" w:hAnsi="Arial" w:cs="Arial"/>
          <w:i/>
          <w:lang w:val="es-CO"/>
        </w:rPr>
      </w:pPr>
      <w:r w:rsidRPr="00913283">
        <w:rPr>
          <w:rFonts w:ascii="Arial" w:hAnsi="Arial" w:cs="Arial"/>
          <w:i/>
          <w:lang w:val="es-CO"/>
        </w:rPr>
        <w:t>…</w:t>
      </w:r>
    </w:p>
    <w:p w14:paraId="10183B1F" w14:textId="77777777" w:rsidR="00B4250A" w:rsidRPr="00913283" w:rsidRDefault="00B4250A" w:rsidP="00E65B65">
      <w:pPr>
        <w:pStyle w:val="Prrafodelista"/>
        <w:autoSpaceDE w:val="0"/>
        <w:autoSpaceDN w:val="0"/>
        <w:adjustRightInd w:val="0"/>
        <w:spacing w:line="360" w:lineRule="auto"/>
        <w:ind w:left="567" w:right="567"/>
        <w:contextualSpacing/>
        <w:jc w:val="both"/>
        <w:rPr>
          <w:rFonts w:ascii="Arial" w:hAnsi="Arial" w:cs="Arial"/>
          <w:i/>
          <w:lang w:val="es-CO"/>
        </w:rPr>
      </w:pPr>
      <w:r w:rsidRPr="00913283">
        <w:rPr>
          <w:rFonts w:ascii="Arial" w:hAnsi="Arial" w:cs="Arial"/>
          <w:i/>
          <w:lang w:val="es-CO"/>
        </w:rPr>
        <w:t>…</w:t>
      </w:r>
    </w:p>
    <w:p w14:paraId="0CA0C51E" w14:textId="77777777" w:rsidR="00B4250A" w:rsidRPr="004B0952" w:rsidRDefault="00B4250A" w:rsidP="00E65B65">
      <w:pPr>
        <w:pStyle w:val="Prrafodelista"/>
        <w:numPr>
          <w:ilvl w:val="0"/>
          <w:numId w:val="2"/>
        </w:numPr>
        <w:autoSpaceDE w:val="0"/>
        <w:autoSpaceDN w:val="0"/>
        <w:adjustRightInd w:val="0"/>
        <w:spacing w:after="0" w:line="360" w:lineRule="auto"/>
        <w:ind w:left="567" w:right="567" w:firstLine="0"/>
        <w:contextualSpacing/>
        <w:jc w:val="both"/>
        <w:rPr>
          <w:rFonts w:ascii="Arial" w:eastAsiaTheme="minorHAnsi" w:hAnsi="Arial" w:cs="Arial"/>
          <w:i/>
        </w:rPr>
      </w:pPr>
      <w:r w:rsidRPr="00913283">
        <w:rPr>
          <w:rFonts w:ascii="Arial" w:eastAsiaTheme="minorHAnsi" w:hAnsi="Arial" w:cs="Arial"/>
          <w:i/>
        </w:rPr>
        <w:t xml:space="preserve">Cada uno de los bloques, se integrarán de manera paritaria, con candidaturas de ambos géneros en los ayuntamientos que los componen. </w:t>
      </w:r>
      <w:r w:rsidRPr="00913283">
        <w:rPr>
          <w:rFonts w:ascii="Arial" w:hAnsi="Arial" w:cs="Arial"/>
          <w:i/>
        </w:rPr>
        <w:t>En principio, el orden de asignación deberá garantizar la máxima competitividad de las mujeres, por lo que se deberá alternar el género de las fórmulas al interior de cada uno de los bloques de competitividad, iniciando por el género femenino en los bloques de alta y baja, salvo que se requiera de una flexibilización ante la posibilidad de reelección de una mujer en cualquiera de los bloques, en cuyo caso se permitirán los ajustes indispensables que determine cada partido político, siempre que se cumpla con las disposiciones constitucionales y legales aplicables en materia de paridad de género, así como con el resto de las acciones afirmativas establecidas</w:t>
      </w:r>
      <w:r>
        <w:rPr>
          <w:rFonts w:ascii="Arial" w:hAnsi="Arial" w:cs="Arial"/>
          <w:i/>
        </w:rPr>
        <w:t xml:space="preserve"> en los presentes Lineamientos.</w:t>
      </w:r>
    </w:p>
    <w:p w14:paraId="0EB6D3DD" w14:textId="77777777" w:rsidR="00B4250A" w:rsidRDefault="00B4250A" w:rsidP="00E65B65">
      <w:pPr>
        <w:autoSpaceDE w:val="0"/>
        <w:autoSpaceDN w:val="0"/>
        <w:adjustRightInd w:val="0"/>
        <w:spacing w:line="360" w:lineRule="auto"/>
        <w:ind w:left="567" w:right="567"/>
        <w:contextualSpacing/>
        <w:jc w:val="both"/>
        <w:rPr>
          <w:rFonts w:ascii="Arial" w:eastAsiaTheme="minorHAnsi" w:hAnsi="Arial" w:cs="Arial"/>
          <w:i/>
        </w:rPr>
      </w:pPr>
      <w:r>
        <w:rPr>
          <w:rFonts w:ascii="Arial" w:eastAsiaTheme="minorHAnsi" w:hAnsi="Arial" w:cs="Arial"/>
          <w:i/>
        </w:rPr>
        <w:t>…</w:t>
      </w:r>
    </w:p>
    <w:p w14:paraId="16EA6F19" w14:textId="77777777" w:rsidR="00B4250A" w:rsidRDefault="00B4250A" w:rsidP="00E65B65">
      <w:pPr>
        <w:autoSpaceDE w:val="0"/>
        <w:autoSpaceDN w:val="0"/>
        <w:adjustRightInd w:val="0"/>
        <w:spacing w:line="360" w:lineRule="auto"/>
        <w:ind w:left="567" w:right="567"/>
        <w:contextualSpacing/>
        <w:jc w:val="both"/>
        <w:rPr>
          <w:rFonts w:ascii="Arial" w:eastAsiaTheme="minorHAnsi" w:hAnsi="Arial" w:cs="Arial"/>
          <w:i/>
        </w:rPr>
      </w:pPr>
      <w:r>
        <w:rPr>
          <w:rFonts w:ascii="Arial" w:eastAsiaTheme="minorHAnsi" w:hAnsi="Arial" w:cs="Arial"/>
          <w:i/>
        </w:rPr>
        <w:t>…</w:t>
      </w:r>
    </w:p>
    <w:p w14:paraId="3AB4D332" w14:textId="77777777" w:rsidR="00B4250A" w:rsidRDefault="00B4250A" w:rsidP="00E65B65">
      <w:pPr>
        <w:autoSpaceDE w:val="0"/>
        <w:autoSpaceDN w:val="0"/>
        <w:adjustRightInd w:val="0"/>
        <w:spacing w:line="360" w:lineRule="auto"/>
        <w:ind w:left="567" w:right="567"/>
        <w:contextualSpacing/>
        <w:jc w:val="both"/>
        <w:rPr>
          <w:rFonts w:ascii="Arial" w:eastAsiaTheme="minorHAnsi" w:hAnsi="Arial" w:cs="Arial"/>
          <w:i/>
        </w:rPr>
      </w:pPr>
      <w:r>
        <w:rPr>
          <w:rFonts w:ascii="Arial" w:eastAsiaTheme="minorHAnsi" w:hAnsi="Arial" w:cs="Arial"/>
          <w:i/>
        </w:rPr>
        <w:t>…</w:t>
      </w:r>
    </w:p>
    <w:p w14:paraId="4616F915" w14:textId="77777777" w:rsidR="00B4250A" w:rsidRPr="00446797" w:rsidRDefault="00B4250A" w:rsidP="00E65B65">
      <w:pPr>
        <w:pStyle w:val="Prrafodelista"/>
        <w:autoSpaceDE w:val="0"/>
        <w:autoSpaceDN w:val="0"/>
        <w:adjustRightInd w:val="0"/>
        <w:spacing w:after="0" w:line="360" w:lineRule="auto"/>
        <w:ind w:left="567" w:right="567"/>
        <w:contextualSpacing/>
        <w:jc w:val="both"/>
        <w:rPr>
          <w:rFonts w:ascii="Arial" w:eastAsiaTheme="minorHAnsi" w:hAnsi="Arial" w:cs="Arial"/>
          <w:i/>
        </w:rPr>
      </w:pPr>
    </w:p>
    <w:p w14:paraId="7A5E8540" w14:textId="77777777" w:rsidR="00B4250A" w:rsidRPr="00C90321" w:rsidRDefault="00B4250A" w:rsidP="00E65B65">
      <w:pPr>
        <w:pStyle w:val="Prrafodelista"/>
        <w:numPr>
          <w:ilvl w:val="0"/>
          <w:numId w:val="3"/>
        </w:numPr>
        <w:autoSpaceDE w:val="0"/>
        <w:autoSpaceDN w:val="0"/>
        <w:adjustRightInd w:val="0"/>
        <w:spacing w:line="360" w:lineRule="auto"/>
        <w:ind w:left="567" w:right="567" w:firstLine="0"/>
        <w:contextualSpacing/>
        <w:jc w:val="both"/>
        <w:rPr>
          <w:rFonts w:ascii="Arial" w:eastAsiaTheme="minorHAnsi" w:hAnsi="Arial" w:cs="Arial"/>
          <w:i/>
        </w:rPr>
      </w:pPr>
      <w:r w:rsidRPr="00C90321">
        <w:rPr>
          <w:rFonts w:ascii="Arial" w:hAnsi="Arial" w:cs="Arial"/>
          <w:i/>
        </w:rPr>
        <w:t>La candidatura correspondiente a la última demarcación del bloque de competitividad baja podrá asignarse al género femenino, en cuyo caso no se computará para efectos de paridad y deberá cumplirse con la alternancia al interior de los bloques por lo que hace al resto de las demarcaciones. Cuando la última demarcación de cualquiera de los bloques se asigne al género femenino, como resultado de la flexibilización de la alternancia al interior de los bloques por cuestiones de elección consecutiva de mujeres, dicha demarcación sí podrá ser contabilizada para efectos del cumplimiento de las reglas de paridad, debiéndose cumplir, como mínimo, con la paridad al interior del bloque de que se trate e, inclusive, pudiendo postularse más mujeres que hombres al interior de cada bloque, pero nunca más hombres que mujeres</w:t>
      </w:r>
      <w:r>
        <w:rPr>
          <w:rFonts w:ascii="Arial" w:hAnsi="Arial" w:cs="Arial"/>
          <w:i/>
        </w:rPr>
        <w:t>.”</w:t>
      </w:r>
    </w:p>
    <w:p w14:paraId="172AD44D" w14:textId="77777777" w:rsidR="00B4250A" w:rsidRPr="00446797" w:rsidRDefault="00B4250A" w:rsidP="00B4250A">
      <w:pPr>
        <w:autoSpaceDE w:val="0"/>
        <w:autoSpaceDN w:val="0"/>
        <w:adjustRightInd w:val="0"/>
        <w:spacing w:line="360" w:lineRule="auto"/>
        <w:contextualSpacing/>
        <w:jc w:val="both"/>
        <w:rPr>
          <w:rFonts w:ascii="Arial" w:eastAsiaTheme="minorHAnsi" w:hAnsi="Arial" w:cs="Arial"/>
          <w:i/>
        </w:rPr>
      </w:pPr>
    </w:p>
    <w:p w14:paraId="611F3EC0" w14:textId="77777777" w:rsidR="00B4250A" w:rsidRPr="00E65B65" w:rsidRDefault="00B4250A" w:rsidP="00E65B65">
      <w:pPr>
        <w:pStyle w:val="Prrafodelista"/>
        <w:autoSpaceDE w:val="0"/>
        <w:autoSpaceDN w:val="0"/>
        <w:adjustRightInd w:val="0"/>
        <w:spacing w:after="0" w:line="360" w:lineRule="auto"/>
        <w:ind w:left="0"/>
        <w:contextualSpacing/>
        <w:jc w:val="both"/>
        <w:rPr>
          <w:rFonts w:ascii="Arial" w:hAnsi="Arial" w:cs="Arial"/>
          <w:lang w:val="es-CO"/>
        </w:rPr>
      </w:pPr>
      <w:r w:rsidRPr="00913283">
        <w:rPr>
          <w:rFonts w:ascii="Arial" w:hAnsi="Arial" w:cs="Arial"/>
          <w:lang w:val="es-CO"/>
        </w:rPr>
        <w:t>De la</w:t>
      </w:r>
      <w:r>
        <w:rPr>
          <w:rFonts w:ascii="Arial" w:hAnsi="Arial" w:cs="Arial"/>
          <w:lang w:val="es-CO"/>
        </w:rPr>
        <w:t xml:space="preserve"> transcripción anterior, </w:t>
      </w:r>
      <w:r w:rsidRPr="00913283">
        <w:rPr>
          <w:rFonts w:ascii="Arial" w:hAnsi="Arial" w:cs="Arial"/>
          <w:lang w:val="es-CO"/>
        </w:rPr>
        <w:t xml:space="preserve">puede desprenderse que </w:t>
      </w:r>
      <w:r>
        <w:rPr>
          <w:rFonts w:ascii="Arial" w:hAnsi="Arial" w:cs="Arial"/>
          <w:lang w:val="es-CO"/>
        </w:rPr>
        <w:t xml:space="preserve">los “Lineamientos de Paridad” contemplan las siguientes reglas para los bloques de competitividad de Ayuntamientos: </w:t>
      </w:r>
    </w:p>
    <w:p w14:paraId="06B72F1C" w14:textId="77777777" w:rsidR="00E65B65" w:rsidRDefault="00E65B65" w:rsidP="00E65B65">
      <w:pPr>
        <w:autoSpaceDE w:val="0"/>
        <w:autoSpaceDN w:val="0"/>
        <w:adjustRightInd w:val="0"/>
        <w:spacing w:line="360" w:lineRule="auto"/>
        <w:contextualSpacing/>
        <w:jc w:val="both"/>
        <w:rPr>
          <w:rFonts w:ascii="Arial" w:hAnsi="Arial" w:cs="Arial"/>
          <w:bCs/>
          <w:sz w:val="22"/>
          <w:szCs w:val="22"/>
          <w:lang w:val="es-CO"/>
        </w:rPr>
      </w:pPr>
    </w:p>
    <w:p w14:paraId="3C96F31A" w14:textId="77777777" w:rsidR="00B4250A" w:rsidRPr="00B67139" w:rsidRDefault="00B4250A" w:rsidP="00E65B65">
      <w:pPr>
        <w:autoSpaceDE w:val="0"/>
        <w:autoSpaceDN w:val="0"/>
        <w:adjustRightInd w:val="0"/>
        <w:spacing w:line="360" w:lineRule="auto"/>
        <w:contextualSpacing/>
        <w:jc w:val="both"/>
        <w:rPr>
          <w:rFonts w:ascii="Arial" w:hAnsi="Arial" w:cs="Arial"/>
          <w:sz w:val="22"/>
          <w:szCs w:val="22"/>
          <w:lang w:val="es-MX"/>
        </w:rPr>
      </w:pPr>
      <w:r w:rsidRPr="00A959C8">
        <w:rPr>
          <w:rFonts w:ascii="Arial" w:hAnsi="Arial" w:cs="Arial"/>
          <w:bCs/>
          <w:sz w:val="22"/>
          <w:szCs w:val="22"/>
          <w:lang w:val="es-CO"/>
        </w:rPr>
        <w:t>Establece la alternancia al interior de los mismos,</w:t>
      </w:r>
      <w:r w:rsidRPr="00B67139">
        <w:rPr>
          <w:rFonts w:ascii="Arial" w:hAnsi="Arial" w:cs="Arial"/>
          <w:sz w:val="22"/>
          <w:szCs w:val="22"/>
          <w:lang w:val="es-CO"/>
        </w:rPr>
        <w:t xml:space="preserve"> comenzando por postul</w:t>
      </w:r>
      <w:r>
        <w:rPr>
          <w:rFonts w:ascii="Arial" w:hAnsi="Arial" w:cs="Arial"/>
          <w:sz w:val="22"/>
          <w:szCs w:val="22"/>
          <w:lang w:val="es-CO"/>
        </w:rPr>
        <w:t xml:space="preserve">ar mujer en el primer </w:t>
      </w:r>
      <w:r w:rsidRPr="00B67139">
        <w:rPr>
          <w:rFonts w:ascii="Arial" w:hAnsi="Arial" w:cs="Arial"/>
          <w:sz w:val="22"/>
          <w:szCs w:val="22"/>
          <w:lang w:val="es-CO"/>
        </w:rPr>
        <w:t>ayuntamiento de</w:t>
      </w:r>
      <w:r>
        <w:rPr>
          <w:rFonts w:ascii="Arial" w:hAnsi="Arial" w:cs="Arial"/>
          <w:sz w:val="22"/>
          <w:szCs w:val="22"/>
          <w:lang w:val="es-CO"/>
        </w:rPr>
        <w:t xml:space="preserve">l bloque de competitividad alta, </w:t>
      </w:r>
      <w:r w:rsidRPr="00B67139">
        <w:rPr>
          <w:rFonts w:ascii="Arial" w:hAnsi="Arial" w:cs="Arial"/>
          <w:sz w:val="22"/>
          <w:szCs w:val="22"/>
          <w:lang w:val="es-CO"/>
        </w:rPr>
        <w:t xml:space="preserve">salvo que se requiera de una flexibilización ante la posibilidad de reelección de una mujer en cualquiera de los bloques, en cuyo caso se permitirán los ajustes indispensables, siempre que se cumpla con las disposiciones constitucionales y legales en materia de género y con el resto de las acciones afirmativas establecidas en los “Lineamientos de Paridad”: </w:t>
      </w:r>
    </w:p>
    <w:p w14:paraId="05F9138D" w14:textId="77777777" w:rsidR="00B4250A" w:rsidRPr="00B67139" w:rsidRDefault="00B4250A" w:rsidP="00E65B65">
      <w:pPr>
        <w:autoSpaceDE w:val="0"/>
        <w:autoSpaceDN w:val="0"/>
        <w:adjustRightInd w:val="0"/>
        <w:spacing w:line="360" w:lineRule="auto"/>
        <w:contextualSpacing/>
        <w:jc w:val="both"/>
        <w:rPr>
          <w:rFonts w:ascii="Arial" w:hAnsi="Arial" w:cs="Arial"/>
          <w:sz w:val="22"/>
          <w:szCs w:val="22"/>
          <w:lang w:val="es-CO"/>
        </w:rPr>
      </w:pPr>
    </w:p>
    <w:p w14:paraId="3F6FB94D" w14:textId="77777777" w:rsidR="00B4250A" w:rsidRPr="00B67139" w:rsidRDefault="00B4250A" w:rsidP="00E65B65">
      <w:pPr>
        <w:autoSpaceDE w:val="0"/>
        <w:autoSpaceDN w:val="0"/>
        <w:adjustRightInd w:val="0"/>
        <w:spacing w:line="360" w:lineRule="auto"/>
        <w:contextualSpacing/>
        <w:jc w:val="both"/>
        <w:rPr>
          <w:rFonts w:ascii="Arial" w:hAnsi="Arial" w:cs="Arial"/>
          <w:sz w:val="22"/>
          <w:szCs w:val="22"/>
          <w:lang w:val="es-MX"/>
        </w:rPr>
      </w:pPr>
      <w:r w:rsidRPr="00B67139">
        <w:rPr>
          <w:rFonts w:ascii="Arial" w:hAnsi="Arial" w:cs="Arial"/>
          <w:sz w:val="22"/>
          <w:szCs w:val="22"/>
          <w:lang w:val="es-CO"/>
        </w:rPr>
        <w:t xml:space="preserve">Así mismo se determina la </w:t>
      </w:r>
      <w:r w:rsidRPr="00A959C8">
        <w:rPr>
          <w:rFonts w:ascii="Arial" w:hAnsi="Arial" w:cs="Arial"/>
          <w:bCs/>
          <w:sz w:val="22"/>
          <w:szCs w:val="22"/>
          <w:lang w:val="es-CO"/>
        </w:rPr>
        <w:t>posibilidad de que el último ayuntamiento del bloque de competitividad baja pueda postularse una mujer</w:t>
      </w:r>
      <w:r w:rsidRPr="00A959C8">
        <w:rPr>
          <w:rFonts w:ascii="Arial" w:hAnsi="Arial" w:cs="Arial"/>
          <w:sz w:val="22"/>
          <w:szCs w:val="22"/>
          <w:lang w:val="es-CO"/>
        </w:rPr>
        <w:t>, caso en el que no contará para la paridad al menos que se realice para procurar la elección consecutiva</w:t>
      </w:r>
      <w:r w:rsidRPr="00B67139">
        <w:rPr>
          <w:rFonts w:ascii="Arial" w:hAnsi="Arial" w:cs="Arial"/>
          <w:sz w:val="22"/>
          <w:szCs w:val="22"/>
          <w:lang w:val="es-CO"/>
        </w:rPr>
        <w:t xml:space="preserve"> de una mujer.  </w:t>
      </w:r>
    </w:p>
    <w:p w14:paraId="3C2497D7" w14:textId="77777777" w:rsidR="00B4250A" w:rsidRPr="00B67139" w:rsidRDefault="00B4250A" w:rsidP="00B4250A">
      <w:pPr>
        <w:autoSpaceDE w:val="0"/>
        <w:autoSpaceDN w:val="0"/>
        <w:adjustRightInd w:val="0"/>
        <w:spacing w:line="360" w:lineRule="auto"/>
        <w:contextualSpacing/>
        <w:jc w:val="both"/>
        <w:rPr>
          <w:rFonts w:ascii="Arial" w:hAnsi="Arial" w:cs="Arial"/>
          <w:sz w:val="22"/>
          <w:szCs w:val="22"/>
        </w:rPr>
      </w:pPr>
    </w:p>
    <w:p w14:paraId="62E1D6EA" w14:textId="77777777" w:rsidR="00B4250A" w:rsidRPr="00B67139" w:rsidRDefault="00B4250A" w:rsidP="00B4250A">
      <w:pPr>
        <w:autoSpaceDE w:val="0"/>
        <w:autoSpaceDN w:val="0"/>
        <w:adjustRightInd w:val="0"/>
        <w:spacing w:line="360" w:lineRule="auto"/>
        <w:contextualSpacing/>
        <w:jc w:val="both"/>
        <w:rPr>
          <w:rFonts w:ascii="Arial" w:hAnsi="Arial" w:cs="Arial"/>
          <w:sz w:val="22"/>
          <w:szCs w:val="22"/>
        </w:rPr>
      </w:pPr>
      <w:r w:rsidRPr="00B67139">
        <w:rPr>
          <w:rFonts w:ascii="Arial" w:hAnsi="Arial" w:cs="Arial"/>
          <w:sz w:val="22"/>
          <w:szCs w:val="22"/>
        </w:rPr>
        <w:t xml:space="preserve">Señalando además que </w:t>
      </w:r>
      <w:r w:rsidRPr="00B67139">
        <w:rPr>
          <w:rFonts w:ascii="Arial" w:hAnsi="Arial" w:cs="Arial"/>
          <w:b/>
          <w:bCs/>
          <w:sz w:val="22"/>
          <w:szCs w:val="22"/>
        </w:rPr>
        <w:t xml:space="preserve">pueden postularse más mujeres que hombres al interior </w:t>
      </w:r>
      <w:r w:rsidRPr="00B67139">
        <w:rPr>
          <w:rFonts w:ascii="Arial" w:hAnsi="Arial" w:cs="Arial"/>
          <w:sz w:val="22"/>
          <w:szCs w:val="22"/>
        </w:rPr>
        <w:t xml:space="preserve">de cada bloque, más no a la inversa. </w:t>
      </w:r>
    </w:p>
    <w:p w14:paraId="0CFEB79C" w14:textId="77777777" w:rsidR="00B4250A" w:rsidRDefault="00B4250A" w:rsidP="00B4250A">
      <w:pPr>
        <w:pStyle w:val="Prrafodelista"/>
        <w:autoSpaceDE w:val="0"/>
        <w:autoSpaceDN w:val="0"/>
        <w:adjustRightInd w:val="0"/>
        <w:spacing w:line="360" w:lineRule="auto"/>
        <w:ind w:left="0"/>
        <w:contextualSpacing/>
        <w:jc w:val="both"/>
        <w:rPr>
          <w:rFonts w:ascii="Arial" w:hAnsi="Arial" w:cs="Arial"/>
          <w:lang w:val="es-CO"/>
        </w:rPr>
      </w:pPr>
    </w:p>
    <w:p w14:paraId="22D6A507" w14:textId="77777777" w:rsidR="00B4250A" w:rsidRDefault="00B4250A" w:rsidP="00B4250A">
      <w:pPr>
        <w:pStyle w:val="Prrafodelista"/>
        <w:autoSpaceDE w:val="0"/>
        <w:autoSpaceDN w:val="0"/>
        <w:adjustRightInd w:val="0"/>
        <w:spacing w:line="360" w:lineRule="auto"/>
        <w:ind w:left="0"/>
        <w:contextualSpacing/>
        <w:jc w:val="both"/>
        <w:rPr>
          <w:rFonts w:ascii="Arial" w:hAnsi="Arial" w:cs="Arial"/>
          <w:lang w:val="es-CO"/>
        </w:rPr>
      </w:pPr>
      <w:r w:rsidRPr="00061BE6">
        <w:rPr>
          <w:rFonts w:ascii="Arial" w:hAnsi="Arial" w:cs="Arial"/>
          <w:lang w:val="es-CO"/>
        </w:rPr>
        <w:t>En el supuesto en análisis, pueden desprenderse dos hipótesis:</w:t>
      </w:r>
      <w:r>
        <w:rPr>
          <w:rFonts w:ascii="Arial" w:hAnsi="Arial" w:cs="Arial"/>
          <w:lang w:val="es-CO"/>
        </w:rPr>
        <w:t xml:space="preserve"> </w:t>
      </w:r>
    </w:p>
    <w:p w14:paraId="1F85D0B7" w14:textId="77777777" w:rsidR="00B4250A" w:rsidRDefault="00B4250A" w:rsidP="00B4250A">
      <w:pPr>
        <w:pStyle w:val="Prrafodelista"/>
        <w:autoSpaceDE w:val="0"/>
        <w:autoSpaceDN w:val="0"/>
        <w:adjustRightInd w:val="0"/>
        <w:spacing w:line="360" w:lineRule="auto"/>
        <w:ind w:left="0"/>
        <w:contextualSpacing/>
        <w:jc w:val="both"/>
        <w:rPr>
          <w:rFonts w:ascii="Arial" w:hAnsi="Arial" w:cs="Arial"/>
          <w:lang w:val="es-CO"/>
        </w:rPr>
      </w:pPr>
    </w:p>
    <w:p w14:paraId="6BA4C7C8" w14:textId="77777777" w:rsidR="00B4250A" w:rsidRDefault="00B4250A" w:rsidP="00E65B65">
      <w:pPr>
        <w:pStyle w:val="Prrafodelista"/>
        <w:numPr>
          <w:ilvl w:val="0"/>
          <w:numId w:val="7"/>
        </w:numPr>
        <w:autoSpaceDE w:val="0"/>
        <w:autoSpaceDN w:val="0"/>
        <w:adjustRightInd w:val="0"/>
        <w:spacing w:line="360" w:lineRule="auto"/>
        <w:contextualSpacing/>
        <w:jc w:val="both"/>
        <w:rPr>
          <w:rFonts w:ascii="Arial" w:hAnsi="Arial" w:cs="Arial"/>
        </w:rPr>
      </w:pPr>
      <w:r w:rsidRPr="00C90321">
        <w:rPr>
          <w:rFonts w:ascii="Arial" w:hAnsi="Arial" w:cs="Arial"/>
          <w:b/>
          <w:lang w:val="es-CO"/>
        </w:rPr>
        <w:lastRenderedPageBreak/>
        <w:t>1ra.</w:t>
      </w:r>
      <w:r w:rsidRPr="00C90321">
        <w:rPr>
          <w:rFonts w:ascii="Arial" w:hAnsi="Arial" w:cs="Arial"/>
          <w:lang w:val="es-CO"/>
        </w:rPr>
        <w:t xml:space="preserve"> </w:t>
      </w:r>
      <w:r>
        <w:rPr>
          <w:rFonts w:ascii="Arial" w:hAnsi="Arial" w:cs="Arial"/>
        </w:rPr>
        <w:t>S</w:t>
      </w:r>
      <w:r w:rsidRPr="00C90321">
        <w:rPr>
          <w:rFonts w:ascii="Arial" w:hAnsi="Arial" w:cs="Arial"/>
        </w:rPr>
        <w:t>iendo</w:t>
      </w:r>
      <w:r>
        <w:rPr>
          <w:rFonts w:ascii="Arial" w:hAnsi="Arial" w:cs="Arial"/>
        </w:rPr>
        <w:t xml:space="preserve"> la primera de éstas hipótesis consiste en la variación de género en la postulación en el municipio de Villa de Álvarez, en la que corresponde la postulación de un hombre de conformidad con los “Lineamientos de Paridad” por una mujer, señalándose que el motivo de lo anterior, es que la mujer que se propone en Villa de Álvarez tiene mejor rentabilidad electoral que cualquier otro candidato varón con los que cuenta el partido;</w:t>
      </w:r>
    </w:p>
    <w:p w14:paraId="2B91328D" w14:textId="77777777" w:rsidR="00B4250A" w:rsidRDefault="00B4250A" w:rsidP="00B4250A">
      <w:pPr>
        <w:pStyle w:val="Prrafodelista"/>
        <w:autoSpaceDE w:val="0"/>
        <w:autoSpaceDN w:val="0"/>
        <w:adjustRightInd w:val="0"/>
        <w:spacing w:line="360" w:lineRule="auto"/>
        <w:ind w:left="0"/>
        <w:contextualSpacing/>
        <w:jc w:val="both"/>
        <w:rPr>
          <w:rFonts w:ascii="Arial" w:hAnsi="Arial" w:cs="Arial"/>
        </w:rPr>
      </w:pPr>
    </w:p>
    <w:p w14:paraId="7C4D1E77" w14:textId="77777777" w:rsidR="00B4250A" w:rsidRPr="004B0952" w:rsidRDefault="00B4250A" w:rsidP="00E65B65">
      <w:pPr>
        <w:pStyle w:val="Prrafodelista"/>
        <w:numPr>
          <w:ilvl w:val="0"/>
          <w:numId w:val="7"/>
        </w:numPr>
        <w:autoSpaceDE w:val="0"/>
        <w:autoSpaceDN w:val="0"/>
        <w:adjustRightInd w:val="0"/>
        <w:spacing w:line="360" w:lineRule="auto"/>
        <w:contextualSpacing/>
        <w:jc w:val="both"/>
        <w:rPr>
          <w:rFonts w:ascii="Arial" w:hAnsi="Arial" w:cs="Arial"/>
          <w:u w:val="single"/>
          <w:lang w:val="es-CO"/>
        </w:rPr>
      </w:pPr>
      <w:r w:rsidRPr="00C90321">
        <w:rPr>
          <w:rFonts w:ascii="Arial" w:hAnsi="Arial" w:cs="Arial"/>
          <w:b/>
        </w:rPr>
        <w:t>2da.</w:t>
      </w:r>
      <w:r>
        <w:rPr>
          <w:rFonts w:ascii="Arial" w:hAnsi="Arial" w:cs="Arial"/>
        </w:rPr>
        <w:t xml:space="preserve"> La segunda de estas hipótesis consiste en la variación de género de la postulación en la postulación en el municipio de Ixtlahuacán, en el que corresponde la postulación de una mujer de conformidad con los “Lineamientos de Paridad” por un hombre. </w:t>
      </w:r>
    </w:p>
    <w:p w14:paraId="3596B3DE" w14:textId="77777777" w:rsidR="00B4250A" w:rsidRDefault="00B4250A" w:rsidP="00B4250A">
      <w:pPr>
        <w:pStyle w:val="Prrafodelista"/>
        <w:autoSpaceDE w:val="0"/>
        <w:autoSpaceDN w:val="0"/>
        <w:adjustRightInd w:val="0"/>
        <w:spacing w:line="360" w:lineRule="auto"/>
        <w:ind w:left="0"/>
        <w:contextualSpacing/>
        <w:jc w:val="both"/>
        <w:rPr>
          <w:rFonts w:ascii="Arial" w:hAnsi="Arial" w:cs="Arial"/>
          <w:lang w:val="es-CO"/>
        </w:rPr>
      </w:pPr>
    </w:p>
    <w:p w14:paraId="717F1035" w14:textId="77777777" w:rsidR="00B4250A" w:rsidRDefault="00B4250A" w:rsidP="00B4250A">
      <w:pPr>
        <w:pStyle w:val="Prrafodelista"/>
        <w:autoSpaceDE w:val="0"/>
        <w:autoSpaceDN w:val="0"/>
        <w:adjustRightInd w:val="0"/>
        <w:spacing w:line="360" w:lineRule="auto"/>
        <w:ind w:left="0"/>
        <w:contextualSpacing/>
        <w:jc w:val="both"/>
        <w:rPr>
          <w:rFonts w:ascii="Arial" w:hAnsi="Arial" w:cs="Arial"/>
          <w:lang w:val="es-CO"/>
        </w:rPr>
      </w:pPr>
      <w:r w:rsidRPr="004B0952">
        <w:rPr>
          <w:rFonts w:ascii="Arial" w:hAnsi="Arial" w:cs="Arial"/>
          <w:b/>
          <w:lang w:val="es-CO"/>
        </w:rPr>
        <w:t xml:space="preserve">Respecto a la </w:t>
      </w:r>
      <w:r w:rsidR="00E65B65">
        <w:rPr>
          <w:rFonts w:ascii="Arial" w:hAnsi="Arial" w:cs="Arial"/>
          <w:b/>
          <w:lang w:val="es-CO"/>
        </w:rPr>
        <w:t>1ra</w:t>
      </w:r>
      <w:r w:rsidRPr="004B0952">
        <w:rPr>
          <w:rFonts w:ascii="Arial" w:hAnsi="Arial" w:cs="Arial"/>
          <w:b/>
          <w:lang w:val="es-CO"/>
        </w:rPr>
        <w:t xml:space="preserve"> hipótesis,</w:t>
      </w:r>
      <w:r>
        <w:rPr>
          <w:rFonts w:ascii="Arial" w:hAnsi="Arial" w:cs="Arial"/>
          <w:lang w:val="es-CO"/>
        </w:rPr>
        <w:t xml:space="preserve"> es decir, referente a la posibilidad del Partido Político MORENA de postular a una mujer en el Ayuntamiento de Villa de Álvarez, no obstante que de conformidad con</w:t>
      </w:r>
      <w:r w:rsidR="00E65B65">
        <w:rPr>
          <w:rFonts w:ascii="Arial" w:hAnsi="Arial" w:cs="Arial"/>
          <w:lang w:val="es-CO"/>
        </w:rPr>
        <w:t xml:space="preserve"> los “Lineamientos de paridad” </w:t>
      </w:r>
      <w:r>
        <w:rPr>
          <w:rFonts w:ascii="Arial" w:hAnsi="Arial" w:cs="Arial"/>
          <w:lang w:val="es-CO"/>
        </w:rPr>
        <w:t>corresponde originalmente postular a un hombre, puede determinarse que h</w:t>
      </w:r>
      <w:r w:rsidRPr="00913283">
        <w:rPr>
          <w:rFonts w:ascii="Arial" w:hAnsi="Arial" w:cs="Arial"/>
          <w:lang w:val="es-CO"/>
        </w:rPr>
        <w:t>aciendo un análisis gramatical, sistemático y funcional,</w:t>
      </w:r>
      <w:r>
        <w:rPr>
          <w:rFonts w:ascii="Arial" w:hAnsi="Arial" w:cs="Arial"/>
          <w:lang w:val="es-CO"/>
        </w:rPr>
        <w:t xml:space="preserve"> se desprende que es viable dicha hipótesis de conformidad con los citados Lineamientos. </w:t>
      </w:r>
    </w:p>
    <w:p w14:paraId="329DA2D0" w14:textId="77777777" w:rsidR="00B4250A" w:rsidRDefault="00B4250A" w:rsidP="00B4250A">
      <w:pPr>
        <w:pStyle w:val="Prrafodelista"/>
        <w:autoSpaceDE w:val="0"/>
        <w:autoSpaceDN w:val="0"/>
        <w:adjustRightInd w:val="0"/>
        <w:spacing w:line="360" w:lineRule="auto"/>
        <w:ind w:left="0"/>
        <w:contextualSpacing/>
        <w:jc w:val="both"/>
        <w:rPr>
          <w:rFonts w:ascii="Arial" w:hAnsi="Arial" w:cs="Arial"/>
          <w:lang w:val="es-CO"/>
        </w:rPr>
      </w:pPr>
    </w:p>
    <w:p w14:paraId="647BCC38" w14:textId="77777777" w:rsidR="00B4250A" w:rsidRPr="004B0952" w:rsidRDefault="00B4250A" w:rsidP="00E65B65">
      <w:pPr>
        <w:pStyle w:val="Default"/>
        <w:spacing w:line="360" w:lineRule="auto"/>
        <w:jc w:val="both"/>
        <w:rPr>
          <w:sz w:val="22"/>
          <w:szCs w:val="22"/>
        </w:rPr>
      </w:pPr>
      <w:r w:rsidRPr="004B0952">
        <w:rPr>
          <w:sz w:val="22"/>
          <w:szCs w:val="22"/>
          <w:lang w:val="es-CO"/>
        </w:rPr>
        <w:t xml:space="preserve">Lo anterior es así, derivado a que </w:t>
      </w:r>
      <w:r w:rsidRPr="004B0952">
        <w:rPr>
          <w:bCs/>
          <w:color w:val="auto"/>
          <w:sz w:val="22"/>
          <w:szCs w:val="22"/>
        </w:rPr>
        <w:t xml:space="preserve">el Instituto Electoral del Estado se ha caracterizado por garantizar la participación de las mujeres en los procesos democráticos, buscando que se </w:t>
      </w:r>
      <w:r w:rsidR="00E65B65">
        <w:rPr>
          <w:sz w:val="22"/>
          <w:szCs w:val="22"/>
        </w:rPr>
        <w:t xml:space="preserve">maximice su </w:t>
      </w:r>
      <w:r w:rsidRPr="004B0952">
        <w:rPr>
          <w:sz w:val="22"/>
          <w:szCs w:val="22"/>
        </w:rPr>
        <w:t>competitividad y su participación en los cargos de elección popular, tratando de aminorar la brecha histórica de desigualdad que existe entre hombres y mujeres. En este sentido, se hace oportuno citar la Jurisprudencia 11/2018, emitida por la Sala Superior del Tribunal Electoral del Poder Judicial de la Federación.</w:t>
      </w:r>
    </w:p>
    <w:p w14:paraId="7C566532" w14:textId="77777777" w:rsidR="00B4250A" w:rsidRDefault="00B4250A" w:rsidP="00B4250A">
      <w:pPr>
        <w:pStyle w:val="Default"/>
        <w:spacing w:line="360" w:lineRule="auto"/>
        <w:ind w:left="720"/>
        <w:jc w:val="both"/>
        <w:rPr>
          <w:sz w:val="22"/>
          <w:szCs w:val="22"/>
        </w:rPr>
      </w:pPr>
    </w:p>
    <w:p w14:paraId="19751BBD" w14:textId="77777777" w:rsidR="00B4250A" w:rsidRPr="00196E7E" w:rsidRDefault="00B4250A" w:rsidP="00B4250A">
      <w:pPr>
        <w:pStyle w:val="Sinespaciado"/>
        <w:ind w:left="709" w:right="567"/>
        <w:jc w:val="both"/>
        <w:rPr>
          <w:rFonts w:ascii="Arial" w:hAnsi="Arial" w:cs="Arial"/>
          <w:i/>
          <w:sz w:val="22"/>
          <w:szCs w:val="22"/>
          <w:lang w:eastAsia="es-MX"/>
        </w:rPr>
      </w:pPr>
      <w:r w:rsidRPr="000C48A8">
        <w:rPr>
          <w:rFonts w:ascii="Arial" w:hAnsi="Arial" w:cs="Arial"/>
          <w:b/>
          <w:bCs/>
          <w:i/>
          <w:sz w:val="22"/>
          <w:szCs w:val="22"/>
          <w:lang w:eastAsia="es-MX"/>
        </w:rPr>
        <w:t xml:space="preserve">“PARIDAD DE GÉNERO. LA INTERPRETACIÓN Y APLICACIÓN DE LAS ACCIONES AFIRMATIVAS DEBE PROCURAR EL MAYOR BENEFICIO PARA </w:t>
      </w:r>
      <w:r w:rsidRPr="00E65B65">
        <w:rPr>
          <w:rFonts w:ascii="Arial" w:hAnsi="Arial" w:cs="Arial"/>
          <w:b/>
          <w:bCs/>
          <w:i/>
          <w:sz w:val="22"/>
          <w:szCs w:val="22"/>
          <w:lang w:eastAsia="es-MX"/>
        </w:rPr>
        <w:t>LAS MUJERES.-</w:t>
      </w:r>
      <w:r w:rsidRPr="00E65B65">
        <w:rPr>
          <w:rStyle w:val="Refdenotaalpie"/>
          <w:rFonts w:ascii="Arial" w:hAnsi="Arial" w:cs="Arial"/>
          <w:bCs/>
          <w:i/>
          <w:sz w:val="22"/>
          <w:szCs w:val="22"/>
          <w:lang w:eastAsia="es-MX"/>
        </w:rPr>
        <w:footnoteReference w:id="1"/>
      </w:r>
      <w:r w:rsidRPr="00E65B65">
        <w:rPr>
          <w:rFonts w:ascii="Arial" w:hAnsi="Arial" w:cs="Arial"/>
          <w:bCs/>
          <w:i/>
          <w:sz w:val="22"/>
          <w:szCs w:val="22"/>
          <w:lang w:eastAsia="es-MX"/>
        </w:rPr>
        <w:t xml:space="preserve"> </w:t>
      </w:r>
      <w:r w:rsidRPr="00E65B65">
        <w:rPr>
          <w:rFonts w:ascii="Arial" w:hAnsi="Arial" w:cs="Arial"/>
          <w:i/>
          <w:sz w:val="22"/>
          <w:szCs w:val="22"/>
          <w:lang w:eastAsia="es-MX"/>
        </w:rPr>
        <w:t xml:space="preserve">De la interpretación sistemática y funcional de los </w:t>
      </w:r>
      <w:hyperlink r:id="rId7" w:history="1">
        <w:r w:rsidRPr="00E65B65">
          <w:rPr>
            <w:rStyle w:val="Hipervnculo"/>
            <w:rFonts w:ascii="Arial" w:eastAsia="Calibri" w:hAnsi="Arial" w:cs="Arial"/>
            <w:i/>
            <w:color w:val="auto"/>
            <w:sz w:val="22"/>
            <w:szCs w:val="22"/>
            <w:lang w:eastAsia="es-MX"/>
          </w:rPr>
          <w:t>artículos 1°, párrafo quinto, 4° y 41, Base I, párrafo segundo de la Constitución Política de los Estados Unidos Mexicanos</w:t>
        </w:r>
      </w:hyperlink>
      <w:r w:rsidRPr="00E65B65">
        <w:rPr>
          <w:rFonts w:ascii="Arial" w:hAnsi="Arial" w:cs="Arial"/>
          <w:i/>
          <w:sz w:val="22"/>
          <w:szCs w:val="22"/>
          <w:lang w:eastAsia="es-MX"/>
        </w:rPr>
        <w:t xml:space="preserve">; </w:t>
      </w:r>
      <w:hyperlink r:id="rId8" w:history="1">
        <w:r w:rsidRPr="00E65B65">
          <w:rPr>
            <w:rStyle w:val="Hipervnculo"/>
            <w:rFonts w:ascii="Arial" w:eastAsia="Calibri" w:hAnsi="Arial" w:cs="Arial"/>
            <w:i/>
            <w:color w:val="auto"/>
            <w:sz w:val="22"/>
            <w:szCs w:val="22"/>
            <w:lang w:eastAsia="es-MX"/>
          </w:rPr>
          <w:t>1, numeral 1 de la Convención Americana sobre Derechos Humanos</w:t>
        </w:r>
      </w:hyperlink>
      <w:r w:rsidRPr="00E65B65">
        <w:rPr>
          <w:rFonts w:ascii="Arial" w:hAnsi="Arial" w:cs="Arial"/>
          <w:i/>
          <w:sz w:val="22"/>
          <w:szCs w:val="22"/>
          <w:lang w:eastAsia="es-MX"/>
        </w:rPr>
        <w:t xml:space="preserve">; </w:t>
      </w:r>
      <w:hyperlink r:id="rId9" w:history="1">
        <w:r w:rsidRPr="00E65B65">
          <w:rPr>
            <w:rStyle w:val="Hipervnculo"/>
            <w:rFonts w:ascii="Arial" w:eastAsia="Calibri" w:hAnsi="Arial" w:cs="Arial"/>
            <w:i/>
            <w:color w:val="auto"/>
            <w:sz w:val="22"/>
            <w:szCs w:val="22"/>
            <w:lang w:eastAsia="es-MX"/>
          </w:rPr>
          <w:t>2, numeral 1 del Pacto Internacional de Derechos Civiles y Políticos</w:t>
        </w:r>
      </w:hyperlink>
      <w:r w:rsidRPr="00E65B65">
        <w:rPr>
          <w:rFonts w:ascii="Arial" w:hAnsi="Arial" w:cs="Arial"/>
          <w:i/>
          <w:sz w:val="22"/>
          <w:szCs w:val="22"/>
          <w:lang w:eastAsia="es-MX"/>
        </w:rPr>
        <w:t xml:space="preserve">; </w:t>
      </w:r>
      <w:hyperlink r:id="rId10" w:history="1">
        <w:r w:rsidRPr="00E65B65">
          <w:rPr>
            <w:rStyle w:val="Hipervnculo"/>
            <w:rFonts w:ascii="Arial" w:eastAsia="Calibri" w:hAnsi="Arial" w:cs="Arial"/>
            <w:i/>
            <w:color w:val="auto"/>
            <w:sz w:val="22"/>
            <w:szCs w:val="22"/>
            <w:lang w:eastAsia="es-MX"/>
          </w:rPr>
          <w:t xml:space="preserve">4, inciso j), 6, inciso a), 7, inciso c), y 8 de la Convención Interamericana </w:t>
        </w:r>
        <w:r w:rsidRPr="00E65B65">
          <w:rPr>
            <w:rStyle w:val="Hipervnculo"/>
            <w:rFonts w:ascii="Arial" w:eastAsia="Calibri" w:hAnsi="Arial" w:cs="Arial"/>
            <w:i/>
            <w:color w:val="auto"/>
            <w:sz w:val="22"/>
            <w:szCs w:val="22"/>
            <w:lang w:eastAsia="es-MX"/>
          </w:rPr>
          <w:lastRenderedPageBreak/>
          <w:t>para Prevenir, Sancionar y Erradicar la Violencia contra la Mujer</w:t>
        </w:r>
      </w:hyperlink>
      <w:r w:rsidRPr="00E65B65">
        <w:rPr>
          <w:rFonts w:ascii="Arial" w:hAnsi="Arial" w:cs="Arial"/>
          <w:i/>
          <w:sz w:val="22"/>
          <w:szCs w:val="22"/>
          <w:lang w:eastAsia="es-MX"/>
        </w:rPr>
        <w:t xml:space="preserve">; </w:t>
      </w:r>
      <w:hyperlink r:id="rId11" w:history="1">
        <w:r w:rsidRPr="00E65B65">
          <w:rPr>
            <w:rStyle w:val="Hipervnculo"/>
            <w:rFonts w:ascii="Arial" w:eastAsia="Calibri" w:hAnsi="Arial" w:cs="Arial"/>
            <w:i/>
            <w:color w:val="auto"/>
            <w:sz w:val="22"/>
            <w:szCs w:val="22"/>
            <w:lang w:eastAsia="es-MX"/>
          </w:rPr>
          <w:t>1, 2, 4, numeral 1, y 7, incisos a) y b) de la Convención sobre la Eliminación de Todas las Formas de Discriminación contra la Mujer</w:t>
        </w:r>
      </w:hyperlink>
      <w:r w:rsidRPr="00E65B65">
        <w:rPr>
          <w:rFonts w:ascii="Arial" w:hAnsi="Arial" w:cs="Arial"/>
          <w:i/>
          <w:sz w:val="22"/>
          <w:szCs w:val="22"/>
          <w:lang w:eastAsia="es-MX"/>
        </w:rPr>
        <w:t xml:space="preserve">; </w:t>
      </w:r>
      <w:hyperlink r:id="rId12" w:history="1">
        <w:r w:rsidRPr="00E65B65">
          <w:rPr>
            <w:rStyle w:val="Hipervnculo"/>
            <w:rFonts w:ascii="Arial" w:eastAsia="Calibri" w:hAnsi="Arial" w:cs="Arial"/>
            <w:i/>
            <w:color w:val="auto"/>
            <w:sz w:val="22"/>
            <w:szCs w:val="22"/>
            <w:lang w:eastAsia="es-MX"/>
          </w:rPr>
          <w:t>II y III de la Convención sobre los Derechos Políticos de la Mujer</w:t>
        </w:r>
      </w:hyperlink>
      <w:r w:rsidRPr="00E65B65">
        <w:rPr>
          <w:rFonts w:ascii="Arial" w:hAnsi="Arial" w:cs="Arial"/>
          <w:i/>
          <w:sz w:val="22"/>
          <w:szCs w:val="22"/>
          <w:lang w:eastAsia="es-MX"/>
        </w:rPr>
        <w:t xml:space="preserve">, se advierte que la </w:t>
      </w:r>
      <w:r w:rsidRPr="00E65B65">
        <w:rPr>
          <w:rFonts w:ascii="Arial" w:hAnsi="Arial" w:cs="Arial"/>
          <w:bCs/>
          <w:i/>
          <w:sz w:val="22"/>
          <w:szCs w:val="22"/>
          <w:lang w:eastAsia="es-MX"/>
        </w:rPr>
        <w:t>paridad</w:t>
      </w:r>
      <w:r w:rsidRPr="00E65B65">
        <w:rPr>
          <w:rFonts w:ascii="Arial" w:hAnsi="Arial" w:cs="Arial"/>
          <w:i/>
          <w:sz w:val="22"/>
          <w:szCs w:val="22"/>
          <w:lang w:eastAsia="es-MX"/>
        </w:rPr>
        <w:t xml:space="preserve"> y las acciones afirmativas de género tienen entre sus principales finalidades: 1) garantizar el principio de igualdad entre hombres y mujeres, 2) </w:t>
      </w:r>
      <w:r w:rsidRPr="00E65B65">
        <w:rPr>
          <w:rFonts w:ascii="Arial" w:hAnsi="Arial" w:cs="Arial"/>
          <w:i/>
          <w:sz w:val="22"/>
          <w:szCs w:val="22"/>
          <w:u w:val="single"/>
          <w:lang w:eastAsia="es-MX"/>
        </w:rPr>
        <w:t>promover y acelerar la participación política de las mujeres en cargos de elección popular, y</w:t>
      </w:r>
      <w:r w:rsidRPr="00E65B65">
        <w:rPr>
          <w:rFonts w:ascii="Arial" w:hAnsi="Arial" w:cs="Arial"/>
          <w:i/>
          <w:sz w:val="22"/>
          <w:szCs w:val="22"/>
          <w:lang w:eastAsia="es-MX"/>
        </w:rPr>
        <w:t xml:space="preserve"> 3) eliminar cualquier forma de discriminación y exclusión histórica o estructural. En consecuencia, aunque en la formulación de las disposiciones normativas que incorporan un mandato de </w:t>
      </w:r>
      <w:r w:rsidRPr="000C48A8">
        <w:rPr>
          <w:rFonts w:ascii="Arial" w:hAnsi="Arial" w:cs="Arial"/>
          <w:i/>
          <w:sz w:val="22"/>
          <w:szCs w:val="22"/>
          <w:lang w:eastAsia="es-MX"/>
        </w:rPr>
        <w:t xml:space="preserve">postulación paritaria, cuotas de género o cualquier otra medida afirmativa de carácter temporal por razón de género, no se incorporen explícitamente criterios interpretativos específicos, </w:t>
      </w:r>
      <w:r w:rsidRPr="000C48A8">
        <w:rPr>
          <w:rFonts w:ascii="Arial" w:hAnsi="Arial" w:cs="Arial"/>
          <w:i/>
          <w:sz w:val="22"/>
          <w:szCs w:val="22"/>
          <w:u w:val="single"/>
          <w:lang w:eastAsia="es-MX"/>
        </w:rPr>
        <w:t>al ser medidas preferenciales a favor de las mujeres, deben interpretarse y aplicarse procurando su mayor beneficio</w:t>
      </w:r>
      <w:r w:rsidRPr="000C48A8">
        <w:rPr>
          <w:rFonts w:ascii="Arial" w:hAnsi="Arial" w:cs="Arial"/>
          <w:i/>
          <w:sz w:val="22"/>
          <w:szCs w:val="22"/>
          <w:lang w:eastAsia="es-MX"/>
        </w:rPr>
        <w:t xml:space="preserve">. Lo anterior exige </w:t>
      </w:r>
      <w:r w:rsidRPr="000C48A8">
        <w:rPr>
          <w:rFonts w:ascii="Arial" w:hAnsi="Arial" w:cs="Arial"/>
          <w:i/>
          <w:sz w:val="22"/>
          <w:szCs w:val="22"/>
          <w:u w:val="single"/>
          <w:lang w:eastAsia="es-MX"/>
        </w:rPr>
        <w:t xml:space="preserve">adoptar una perspectiva de la </w:t>
      </w:r>
      <w:r w:rsidRPr="000C48A8">
        <w:rPr>
          <w:rFonts w:ascii="Arial" w:hAnsi="Arial" w:cs="Arial"/>
          <w:bCs/>
          <w:i/>
          <w:sz w:val="22"/>
          <w:szCs w:val="22"/>
          <w:u w:val="single"/>
          <w:lang w:eastAsia="es-MX"/>
        </w:rPr>
        <w:t>paridad</w:t>
      </w:r>
      <w:r w:rsidRPr="000C48A8">
        <w:rPr>
          <w:rFonts w:ascii="Arial" w:hAnsi="Arial" w:cs="Arial"/>
          <w:i/>
          <w:sz w:val="22"/>
          <w:szCs w:val="22"/>
          <w:u w:val="single"/>
          <w:lang w:eastAsia="es-MX"/>
        </w:rPr>
        <w:t xml:space="preserve"> de género como mandato de optimización flexible que admite una participación mayor de mujeres que aquella que la entiende estrictamente en términos cuantitativos, como cincuenta por ciento de hombres y cincuenta por ciento de mujeres</w:t>
      </w:r>
      <w:r w:rsidRPr="000C48A8">
        <w:rPr>
          <w:rFonts w:ascii="Arial" w:hAnsi="Arial" w:cs="Arial"/>
          <w:i/>
          <w:sz w:val="22"/>
          <w:szCs w:val="22"/>
          <w:lang w:eastAsia="es-MX"/>
        </w:rPr>
        <w:t xml:space="preserve">. Una interpretación de tales disposiciones en términos estrictos o neutrales podría restringir el principio del efecto útil en la interpretación de dichas normas y a la finalidad de las acciones afirmativas, pues las mujeres se podrían ver limitadas para ser postuladas o acceder a un número de cargos que excedan la </w:t>
      </w:r>
      <w:r w:rsidRPr="000C48A8">
        <w:rPr>
          <w:rFonts w:ascii="Arial" w:hAnsi="Arial" w:cs="Arial"/>
          <w:bCs/>
          <w:i/>
          <w:sz w:val="22"/>
          <w:szCs w:val="22"/>
          <w:lang w:eastAsia="es-MX"/>
        </w:rPr>
        <w:t>paridad</w:t>
      </w:r>
      <w:r w:rsidRPr="000C48A8">
        <w:rPr>
          <w:rFonts w:ascii="Arial" w:hAnsi="Arial" w:cs="Arial"/>
          <w:i/>
          <w:sz w:val="22"/>
          <w:szCs w:val="22"/>
          <w:lang w:eastAsia="es-MX"/>
        </w:rPr>
        <w:t xml:space="preserve"> en términos cuantitativos, cuando existen condiciones y argumentos que justifican un mayor beneficio para las mujeres </w:t>
      </w:r>
      <w:r w:rsidRPr="00196E7E">
        <w:rPr>
          <w:rFonts w:ascii="Arial" w:hAnsi="Arial" w:cs="Arial"/>
          <w:i/>
          <w:sz w:val="22"/>
          <w:szCs w:val="22"/>
          <w:lang w:eastAsia="es-MX"/>
        </w:rPr>
        <w:t>en un caso concreto.</w:t>
      </w:r>
    </w:p>
    <w:p w14:paraId="3CB5DCC7" w14:textId="77777777" w:rsidR="00B4250A" w:rsidRDefault="00B4250A" w:rsidP="00B4250A">
      <w:pPr>
        <w:pStyle w:val="Default"/>
        <w:spacing w:line="360" w:lineRule="auto"/>
        <w:ind w:left="720"/>
        <w:jc w:val="both"/>
        <w:rPr>
          <w:b/>
          <w:bCs/>
          <w:color w:val="auto"/>
          <w:sz w:val="22"/>
          <w:szCs w:val="22"/>
          <w:highlight w:val="yellow"/>
        </w:rPr>
      </w:pPr>
    </w:p>
    <w:p w14:paraId="27E3A432" w14:textId="77777777" w:rsidR="00B4250A" w:rsidRPr="00026955" w:rsidRDefault="00B4250A" w:rsidP="00E65B65">
      <w:pPr>
        <w:pStyle w:val="Sinespaciado"/>
        <w:spacing w:line="360" w:lineRule="auto"/>
        <w:jc w:val="both"/>
        <w:rPr>
          <w:rFonts w:ascii="Arial" w:hAnsi="Arial" w:cs="Arial"/>
          <w:i/>
          <w:sz w:val="22"/>
          <w:szCs w:val="22"/>
          <w:u w:val="single"/>
        </w:rPr>
      </w:pPr>
      <w:r>
        <w:rPr>
          <w:rFonts w:ascii="Arial" w:hAnsi="Arial" w:cs="Arial"/>
          <w:sz w:val="22"/>
          <w:szCs w:val="22"/>
        </w:rPr>
        <w:t xml:space="preserve">Aunado a lo anterior, </w:t>
      </w:r>
      <w:r w:rsidRPr="00B4319C">
        <w:rPr>
          <w:rFonts w:ascii="Arial" w:hAnsi="Arial" w:cs="Arial"/>
          <w:sz w:val="22"/>
          <w:szCs w:val="22"/>
        </w:rPr>
        <w:t>la Sala Superior ha sido coincidente con diversos criterios emitidos por la S</w:t>
      </w:r>
      <w:r>
        <w:rPr>
          <w:rFonts w:ascii="Arial" w:hAnsi="Arial" w:cs="Arial"/>
          <w:sz w:val="22"/>
          <w:szCs w:val="22"/>
        </w:rPr>
        <w:t xml:space="preserve">uprema </w:t>
      </w:r>
      <w:r w:rsidRPr="00B4319C">
        <w:rPr>
          <w:rFonts w:ascii="Arial" w:hAnsi="Arial" w:cs="Arial"/>
          <w:sz w:val="22"/>
          <w:szCs w:val="22"/>
        </w:rPr>
        <w:t>C</w:t>
      </w:r>
      <w:r>
        <w:rPr>
          <w:rFonts w:ascii="Arial" w:hAnsi="Arial" w:cs="Arial"/>
          <w:sz w:val="22"/>
          <w:szCs w:val="22"/>
        </w:rPr>
        <w:t xml:space="preserve">orte de </w:t>
      </w:r>
      <w:r w:rsidRPr="00B4319C">
        <w:rPr>
          <w:rFonts w:ascii="Arial" w:hAnsi="Arial" w:cs="Arial"/>
          <w:sz w:val="22"/>
          <w:szCs w:val="22"/>
        </w:rPr>
        <w:t>J</w:t>
      </w:r>
      <w:r>
        <w:rPr>
          <w:rFonts w:ascii="Arial" w:hAnsi="Arial" w:cs="Arial"/>
          <w:sz w:val="22"/>
          <w:szCs w:val="22"/>
        </w:rPr>
        <w:t xml:space="preserve">usticia de la </w:t>
      </w:r>
      <w:r w:rsidRPr="00B4319C">
        <w:rPr>
          <w:rFonts w:ascii="Arial" w:hAnsi="Arial" w:cs="Arial"/>
          <w:sz w:val="22"/>
          <w:szCs w:val="22"/>
        </w:rPr>
        <w:t>N</w:t>
      </w:r>
      <w:r>
        <w:rPr>
          <w:rFonts w:ascii="Arial" w:hAnsi="Arial" w:cs="Arial"/>
          <w:sz w:val="22"/>
          <w:szCs w:val="22"/>
        </w:rPr>
        <w:t>ación</w:t>
      </w:r>
      <w:r w:rsidRPr="00B4319C">
        <w:rPr>
          <w:rFonts w:ascii="Arial" w:hAnsi="Arial" w:cs="Arial"/>
          <w:sz w:val="22"/>
          <w:szCs w:val="22"/>
        </w:rPr>
        <w:t xml:space="preserve">, como el sostenido al resolver la Acción de Inconstitucionalidad 35/2014 y sus acumuladas, en la que se consideró que: </w:t>
      </w:r>
      <w:r w:rsidRPr="00B4319C">
        <w:rPr>
          <w:rFonts w:ascii="Arial" w:hAnsi="Arial" w:cs="Arial"/>
          <w:i/>
          <w:sz w:val="22"/>
          <w:szCs w:val="22"/>
        </w:rPr>
        <w:t>“…en casos en que el legislador incluya a grupos históricamente discriminados en el ámbito de la norma, ya sea ampliando o igualando sus derechos (y no se trata de un caso de restricción de éstos), se está ante una distinción relevante</w:t>
      </w:r>
      <w:r w:rsidRPr="00B4319C">
        <w:rPr>
          <w:rFonts w:ascii="Arial" w:hAnsi="Arial" w:cs="Arial"/>
          <w:sz w:val="22"/>
          <w:szCs w:val="22"/>
        </w:rPr>
        <w:t>”.</w:t>
      </w:r>
      <w:r w:rsidRPr="00B4319C">
        <w:rPr>
          <w:rFonts w:ascii="Arial" w:hAnsi="Arial" w:cs="Arial"/>
          <w:i/>
          <w:sz w:val="22"/>
          <w:szCs w:val="22"/>
        </w:rPr>
        <w:t xml:space="preserve"> </w:t>
      </w:r>
      <w:r w:rsidRPr="00B4319C">
        <w:rPr>
          <w:rFonts w:ascii="Arial" w:hAnsi="Arial" w:cs="Arial"/>
          <w:sz w:val="22"/>
          <w:szCs w:val="22"/>
        </w:rPr>
        <w:t xml:space="preserve">De igual forma, sostuvo que: </w:t>
      </w:r>
      <w:r w:rsidRPr="00B4319C">
        <w:rPr>
          <w:rFonts w:ascii="Arial" w:hAnsi="Arial" w:cs="Arial"/>
          <w:i/>
          <w:sz w:val="22"/>
          <w:szCs w:val="22"/>
        </w:rPr>
        <w:t xml:space="preserve">“…fue en atención a un problema de discriminación estructural y generalizada de la mujer en el ámbito político-electoral que el órgano revisor de </w:t>
      </w:r>
      <w:r w:rsidRPr="00026955">
        <w:rPr>
          <w:rFonts w:ascii="Arial" w:hAnsi="Arial" w:cs="Arial"/>
          <w:i/>
          <w:sz w:val="22"/>
          <w:szCs w:val="22"/>
          <w:u w:val="single"/>
        </w:rPr>
        <w:t>la Constitución concretizó el principio de igualdad e introdujo en el artículo 41 constitucional el principio de paridad de género, con el fin de garantizar la igual participación política de la mujer en su participación mediante candidaturas efectivas para la integración de los órganos de representación popular”.</w:t>
      </w:r>
    </w:p>
    <w:p w14:paraId="631EED33" w14:textId="77777777" w:rsidR="00B4250A" w:rsidRPr="00B4319C" w:rsidRDefault="00B4250A" w:rsidP="00E65B65">
      <w:pPr>
        <w:pStyle w:val="Sinespaciado"/>
        <w:spacing w:line="360" w:lineRule="auto"/>
        <w:ind w:left="567"/>
        <w:jc w:val="both"/>
        <w:rPr>
          <w:rFonts w:ascii="Arial" w:hAnsi="Arial" w:cs="Arial"/>
          <w:i/>
          <w:sz w:val="22"/>
          <w:szCs w:val="22"/>
        </w:rPr>
      </w:pPr>
    </w:p>
    <w:p w14:paraId="347EB1F8" w14:textId="77777777" w:rsidR="00B4250A" w:rsidRDefault="00B4250A" w:rsidP="00B4250A">
      <w:pPr>
        <w:pStyle w:val="Default"/>
        <w:spacing w:line="360" w:lineRule="auto"/>
        <w:jc w:val="both"/>
        <w:rPr>
          <w:sz w:val="22"/>
          <w:szCs w:val="22"/>
        </w:rPr>
      </w:pPr>
      <w:r w:rsidRPr="00B4319C">
        <w:rPr>
          <w:sz w:val="22"/>
          <w:szCs w:val="22"/>
        </w:rPr>
        <w:t>De lo antes expuesto</w:t>
      </w:r>
      <w:r>
        <w:rPr>
          <w:sz w:val="22"/>
          <w:szCs w:val="22"/>
        </w:rPr>
        <w:t>,</w:t>
      </w:r>
      <w:r w:rsidRPr="00B4319C">
        <w:rPr>
          <w:sz w:val="22"/>
          <w:szCs w:val="22"/>
        </w:rPr>
        <w:t xml:space="preserve"> se advierte que de los Derechos Humanos contenidos en el artículo 1º, párrafo tercero, de la Constitución Federal, en concordancia</w:t>
      </w:r>
      <w:r>
        <w:rPr>
          <w:sz w:val="22"/>
          <w:szCs w:val="22"/>
        </w:rPr>
        <w:t xml:space="preserve"> con el </w:t>
      </w:r>
      <w:r w:rsidRPr="00B4319C">
        <w:rPr>
          <w:sz w:val="22"/>
          <w:szCs w:val="22"/>
        </w:rPr>
        <w:t>principio de progresividad de los derechos humanos</w:t>
      </w:r>
      <w:r>
        <w:rPr>
          <w:sz w:val="22"/>
          <w:szCs w:val="22"/>
        </w:rPr>
        <w:t xml:space="preserve">, así como el apego irrestricto a </w:t>
      </w:r>
      <w:r w:rsidRPr="00B4319C">
        <w:rPr>
          <w:sz w:val="22"/>
          <w:szCs w:val="22"/>
        </w:rPr>
        <w:t>los principios de paridad, igualdad y no discriminación</w:t>
      </w:r>
      <w:r>
        <w:rPr>
          <w:sz w:val="22"/>
          <w:szCs w:val="22"/>
        </w:rPr>
        <w:t>, los cuales</w:t>
      </w:r>
      <w:r w:rsidRPr="00B4319C">
        <w:rPr>
          <w:sz w:val="22"/>
          <w:szCs w:val="22"/>
        </w:rPr>
        <w:t xml:space="preserve"> deben de </w:t>
      </w:r>
      <w:r w:rsidRPr="00325C23">
        <w:rPr>
          <w:sz w:val="22"/>
          <w:szCs w:val="22"/>
        </w:rPr>
        <w:t xml:space="preserve">ser protegidos y salvaguardados de forma totalmente </w:t>
      </w:r>
      <w:r w:rsidRPr="00325C23">
        <w:rPr>
          <w:sz w:val="22"/>
          <w:szCs w:val="22"/>
        </w:rPr>
        <w:lastRenderedPageBreak/>
        <w:t xml:space="preserve">amplia estando prohibido en todo momento la regresividad de alguno de ellos, esta autoridad administrativa electoral, se encuentra obligada a investirse del estudio y valoración de la evolución progresista para la protección de dichos principios; asimismo, el </w:t>
      </w:r>
      <w:r>
        <w:rPr>
          <w:sz w:val="22"/>
          <w:szCs w:val="22"/>
        </w:rPr>
        <w:t xml:space="preserve">Artículo 9 inciso d) </w:t>
      </w:r>
      <w:r w:rsidRPr="00325C23">
        <w:rPr>
          <w:sz w:val="22"/>
          <w:szCs w:val="22"/>
        </w:rPr>
        <w:t>numeral</w:t>
      </w:r>
      <w:r>
        <w:rPr>
          <w:sz w:val="22"/>
          <w:szCs w:val="22"/>
        </w:rPr>
        <w:t xml:space="preserve"> 9 y el</w:t>
      </w:r>
      <w:r w:rsidRPr="00325C23">
        <w:rPr>
          <w:sz w:val="22"/>
          <w:szCs w:val="22"/>
        </w:rPr>
        <w:t xml:space="preserve"> </w:t>
      </w:r>
      <w:r w:rsidRPr="001A122D">
        <w:rPr>
          <w:sz w:val="22"/>
          <w:szCs w:val="22"/>
        </w:rPr>
        <w:t>artículo 11 inciso c) numeral 8 de los “Lineamientos de Paridad” disponen que inclusive, pueden postularse más mujeres que hombres al interior de ca</w:t>
      </w:r>
      <w:r w:rsidR="00E65B65">
        <w:rPr>
          <w:sz w:val="22"/>
          <w:szCs w:val="22"/>
        </w:rPr>
        <w:t xml:space="preserve">da bloque, pero nunca </w:t>
      </w:r>
      <w:r w:rsidRPr="001A122D">
        <w:rPr>
          <w:sz w:val="22"/>
          <w:szCs w:val="22"/>
        </w:rPr>
        <w:t>más hombres que mujeres.</w:t>
      </w:r>
      <w:r>
        <w:rPr>
          <w:sz w:val="22"/>
          <w:szCs w:val="22"/>
        </w:rPr>
        <w:t xml:space="preserve"> </w:t>
      </w:r>
    </w:p>
    <w:p w14:paraId="7B7E34E8" w14:textId="77777777" w:rsidR="00B4250A" w:rsidRDefault="00B4250A" w:rsidP="00B4250A">
      <w:pPr>
        <w:pStyle w:val="Default"/>
        <w:spacing w:line="360" w:lineRule="auto"/>
        <w:jc w:val="both"/>
        <w:rPr>
          <w:sz w:val="22"/>
          <w:szCs w:val="22"/>
        </w:rPr>
      </w:pPr>
    </w:p>
    <w:p w14:paraId="33C0A2DD" w14:textId="77777777" w:rsidR="00B4250A" w:rsidRPr="001A122D" w:rsidRDefault="00E65B65" w:rsidP="00B4250A">
      <w:pPr>
        <w:pStyle w:val="Default"/>
        <w:spacing w:line="360" w:lineRule="auto"/>
        <w:jc w:val="both"/>
        <w:rPr>
          <w:sz w:val="22"/>
          <w:szCs w:val="22"/>
        </w:rPr>
      </w:pPr>
      <w:r>
        <w:rPr>
          <w:sz w:val="22"/>
          <w:szCs w:val="22"/>
        </w:rPr>
        <w:t>Por lo que la hipótesis 1ra</w:t>
      </w:r>
      <w:r w:rsidR="00B4250A">
        <w:rPr>
          <w:sz w:val="22"/>
          <w:szCs w:val="22"/>
        </w:rPr>
        <w:t xml:space="preserve"> que se analiza, </w:t>
      </w:r>
      <w:r w:rsidR="00B4250A" w:rsidRPr="001A122D">
        <w:rPr>
          <w:sz w:val="22"/>
          <w:szCs w:val="22"/>
          <w:lang w:val="es-CO"/>
        </w:rPr>
        <w:t xml:space="preserve">es decir, referente a la posibilidad de postular a una mujer en </w:t>
      </w:r>
      <w:r w:rsidR="00B4250A">
        <w:rPr>
          <w:sz w:val="22"/>
          <w:szCs w:val="22"/>
          <w:lang w:val="es-CO"/>
        </w:rPr>
        <w:t>el Ayuntamiento de Villa de Álvarez</w:t>
      </w:r>
      <w:r w:rsidR="00B4250A" w:rsidRPr="001A122D">
        <w:rPr>
          <w:sz w:val="22"/>
          <w:szCs w:val="22"/>
          <w:lang w:val="es-CO"/>
        </w:rPr>
        <w:t xml:space="preserve">, no obstante que de conformidad con los “Lineamientos de paridad” </w:t>
      </w:r>
      <w:r>
        <w:rPr>
          <w:sz w:val="22"/>
          <w:szCs w:val="22"/>
          <w:lang w:val="es-CO"/>
        </w:rPr>
        <w:t>corresponde originalmente</w:t>
      </w:r>
      <w:r w:rsidR="00B4250A" w:rsidRPr="001A122D">
        <w:rPr>
          <w:sz w:val="22"/>
          <w:szCs w:val="22"/>
          <w:lang w:val="es-CO"/>
        </w:rPr>
        <w:t xml:space="preserve"> postular a un hombre, </w:t>
      </w:r>
      <w:r w:rsidR="00B4250A" w:rsidRPr="001A122D">
        <w:rPr>
          <w:sz w:val="22"/>
          <w:szCs w:val="22"/>
        </w:rPr>
        <w:t>cumple con el principio de paridad de género establecido en nuestra Carta Magna.</w:t>
      </w:r>
    </w:p>
    <w:p w14:paraId="0034D86C" w14:textId="77777777" w:rsidR="00B4250A" w:rsidRDefault="00B4250A" w:rsidP="00B4250A">
      <w:pPr>
        <w:pStyle w:val="Prrafodelista"/>
        <w:autoSpaceDE w:val="0"/>
        <w:autoSpaceDN w:val="0"/>
        <w:adjustRightInd w:val="0"/>
        <w:spacing w:line="360" w:lineRule="auto"/>
        <w:ind w:left="0"/>
        <w:contextualSpacing/>
        <w:jc w:val="both"/>
        <w:rPr>
          <w:rFonts w:ascii="Arial" w:hAnsi="Arial" w:cs="Arial"/>
          <w:lang w:val="es-CO"/>
        </w:rPr>
      </w:pPr>
    </w:p>
    <w:p w14:paraId="065F5C70" w14:textId="77777777" w:rsidR="00B4250A" w:rsidRDefault="00B4250A" w:rsidP="00B4250A">
      <w:pPr>
        <w:pStyle w:val="Prrafodelista"/>
        <w:autoSpaceDE w:val="0"/>
        <w:autoSpaceDN w:val="0"/>
        <w:adjustRightInd w:val="0"/>
        <w:spacing w:line="360" w:lineRule="auto"/>
        <w:ind w:left="0"/>
        <w:contextualSpacing/>
        <w:jc w:val="both"/>
        <w:rPr>
          <w:rFonts w:ascii="Arial" w:hAnsi="Arial" w:cs="Arial"/>
          <w:lang w:val="es-CO"/>
        </w:rPr>
      </w:pPr>
      <w:r w:rsidRPr="004B0952">
        <w:rPr>
          <w:rFonts w:ascii="Arial" w:hAnsi="Arial" w:cs="Arial"/>
          <w:b/>
          <w:lang w:val="es-CO"/>
        </w:rPr>
        <w:t xml:space="preserve">Respecto a la </w:t>
      </w:r>
      <w:r w:rsidR="00E65B65">
        <w:rPr>
          <w:rFonts w:ascii="Arial" w:hAnsi="Arial" w:cs="Arial"/>
          <w:b/>
          <w:lang w:val="es-CO"/>
        </w:rPr>
        <w:t>2da</w:t>
      </w:r>
      <w:r w:rsidRPr="004B0952">
        <w:rPr>
          <w:rFonts w:ascii="Arial" w:hAnsi="Arial" w:cs="Arial"/>
          <w:b/>
          <w:lang w:val="es-CO"/>
        </w:rPr>
        <w:t xml:space="preserve"> hipótesis</w:t>
      </w:r>
      <w:r>
        <w:rPr>
          <w:rFonts w:ascii="Arial" w:hAnsi="Arial" w:cs="Arial"/>
          <w:lang w:val="es-CO"/>
        </w:rPr>
        <w:t xml:space="preserve"> relativa a que el Partido Político MORENA consulta la posibilidad de postular en el Ayuntamiento de Ixtlahuacán a un hombre en donde de conformidad con los “Lineamientos de Paridad” corresponde postular a una mujer, se determina lo siguiente: </w:t>
      </w:r>
    </w:p>
    <w:p w14:paraId="1369E6D2" w14:textId="77777777" w:rsidR="00B4250A" w:rsidRDefault="00B4250A" w:rsidP="00B4250A">
      <w:pPr>
        <w:pStyle w:val="Prrafodelista"/>
        <w:autoSpaceDE w:val="0"/>
        <w:autoSpaceDN w:val="0"/>
        <w:adjustRightInd w:val="0"/>
        <w:spacing w:line="360" w:lineRule="auto"/>
        <w:ind w:left="0"/>
        <w:contextualSpacing/>
        <w:jc w:val="both"/>
        <w:rPr>
          <w:rFonts w:ascii="Arial" w:hAnsi="Arial" w:cs="Arial"/>
          <w:lang w:val="es-CO"/>
        </w:rPr>
      </w:pPr>
    </w:p>
    <w:p w14:paraId="60C8B5A1" w14:textId="77777777" w:rsidR="00B4250A" w:rsidRDefault="00B4250A" w:rsidP="00B4250A">
      <w:pPr>
        <w:pStyle w:val="Prrafodelista"/>
        <w:autoSpaceDE w:val="0"/>
        <w:autoSpaceDN w:val="0"/>
        <w:adjustRightInd w:val="0"/>
        <w:spacing w:line="360" w:lineRule="auto"/>
        <w:ind w:left="0"/>
        <w:contextualSpacing/>
        <w:jc w:val="both"/>
        <w:rPr>
          <w:rFonts w:ascii="Arial" w:hAnsi="Arial" w:cs="Arial"/>
          <w:lang w:val="es-CO"/>
        </w:rPr>
      </w:pPr>
      <w:r>
        <w:rPr>
          <w:rFonts w:ascii="Arial" w:hAnsi="Arial" w:cs="Arial"/>
        </w:rPr>
        <w:t xml:space="preserve">De </w:t>
      </w:r>
      <w:r w:rsidRPr="00913283">
        <w:rPr>
          <w:rFonts w:ascii="Arial" w:hAnsi="Arial" w:cs="Arial"/>
          <w:lang w:val="es-CO"/>
        </w:rPr>
        <w:t>un análisis gramatical, sistemático y func</w:t>
      </w:r>
      <w:r>
        <w:rPr>
          <w:rFonts w:ascii="Arial" w:hAnsi="Arial" w:cs="Arial"/>
          <w:lang w:val="es-CO"/>
        </w:rPr>
        <w:t>ional, puede desprenderse que</w:t>
      </w:r>
      <w:r w:rsidRPr="00913283">
        <w:rPr>
          <w:rFonts w:ascii="Arial" w:hAnsi="Arial" w:cs="Arial"/>
          <w:lang w:val="es-CO"/>
        </w:rPr>
        <w:t xml:space="preserve"> el supuesto en análisis, consistente en la viabilidad o no de que </w:t>
      </w:r>
      <w:r>
        <w:rPr>
          <w:rFonts w:ascii="Arial" w:hAnsi="Arial" w:cs="Arial"/>
          <w:lang w:val="es-CO"/>
        </w:rPr>
        <w:t xml:space="preserve">pueda postularse a un hombre en el Ayuntamiento de Ixtlahuacán, donde corresponde postular a una mujer de conformidad con los “Lineamientos de Paridad”, siendo que dicha situación </w:t>
      </w:r>
      <w:r w:rsidRPr="00913283">
        <w:rPr>
          <w:rFonts w:ascii="Arial" w:hAnsi="Arial" w:cs="Arial"/>
          <w:lang w:val="es-CO"/>
        </w:rPr>
        <w:t xml:space="preserve">no es viable </w:t>
      </w:r>
      <w:r>
        <w:rPr>
          <w:rFonts w:ascii="Arial" w:hAnsi="Arial" w:cs="Arial"/>
          <w:lang w:val="es-CO"/>
        </w:rPr>
        <w:t xml:space="preserve">ya que los citados lineamientos no contemplan dicho supuesto, ya que si bien es cierto, tal y como se desprende de </w:t>
      </w:r>
      <w:r w:rsidRPr="009D6B98">
        <w:rPr>
          <w:rFonts w:ascii="Arial" w:hAnsi="Arial" w:cs="Arial"/>
          <w:lang w:val="es-CO"/>
        </w:rPr>
        <w:t xml:space="preserve">la </w:t>
      </w:r>
      <w:r w:rsidRPr="004618CB">
        <w:rPr>
          <w:rFonts w:ascii="Arial" w:hAnsi="Arial" w:cs="Arial"/>
          <w:lang w:val="es-CO"/>
        </w:rPr>
        <w:t>Tabla 2</w:t>
      </w:r>
      <w:r>
        <w:rPr>
          <w:rFonts w:ascii="Arial" w:hAnsi="Arial" w:cs="Arial"/>
          <w:lang w:val="es-CO"/>
        </w:rPr>
        <w:t xml:space="preserve"> el bloque de competitividad media, estaría integrado por dos mujeres y ningún hombre, derivado a los cambios que consulta efectuar el Partido Político MORENA al postular una mujer en el Ayuntamiento donde originalmente le corresponde a un hombre, esto no implica que puedan realizarse cambios a la inversa, es decir, postular un hombre en el lugar que se encuentra asignado a una mujer, ya que entonces, la alternancia establecida en el artículo </w:t>
      </w:r>
      <w:r w:rsidRPr="00D459CA">
        <w:rPr>
          <w:rFonts w:ascii="Arial" w:hAnsi="Arial" w:cs="Arial"/>
          <w:lang w:val="es-CO"/>
        </w:rPr>
        <w:t>11 inciso c) numeral 4 de los “Lineamientos de Pa</w:t>
      </w:r>
      <w:r>
        <w:rPr>
          <w:rFonts w:ascii="Arial" w:hAnsi="Arial" w:cs="Arial"/>
          <w:lang w:val="es-CO"/>
        </w:rPr>
        <w:t xml:space="preserve">ridad” no tendrían razón de ser, al tener la posibilidad de realizar variaciones en los géneros de las postulaciones.  </w:t>
      </w:r>
    </w:p>
    <w:p w14:paraId="0EECC303" w14:textId="77777777" w:rsidR="00B4250A" w:rsidRDefault="00B4250A" w:rsidP="00B4250A">
      <w:pPr>
        <w:pStyle w:val="Prrafodelista"/>
        <w:autoSpaceDE w:val="0"/>
        <w:autoSpaceDN w:val="0"/>
        <w:adjustRightInd w:val="0"/>
        <w:spacing w:line="360" w:lineRule="auto"/>
        <w:ind w:left="0"/>
        <w:contextualSpacing/>
        <w:jc w:val="both"/>
        <w:rPr>
          <w:rFonts w:ascii="Arial" w:hAnsi="Arial" w:cs="Arial"/>
          <w:lang w:val="es-CO"/>
        </w:rPr>
      </w:pPr>
    </w:p>
    <w:p w14:paraId="2C01F9E5" w14:textId="77777777" w:rsidR="00B4250A" w:rsidRDefault="00B4250A" w:rsidP="00B4250A">
      <w:pPr>
        <w:pStyle w:val="Prrafodelista"/>
        <w:autoSpaceDE w:val="0"/>
        <w:autoSpaceDN w:val="0"/>
        <w:adjustRightInd w:val="0"/>
        <w:spacing w:line="360" w:lineRule="auto"/>
        <w:ind w:left="0"/>
        <w:contextualSpacing/>
        <w:jc w:val="both"/>
        <w:rPr>
          <w:rFonts w:ascii="Arial" w:hAnsi="Arial" w:cs="Arial"/>
          <w:i/>
          <w:u w:val="single"/>
        </w:rPr>
      </w:pPr>
      <w:r w:rsidRPr="004C25BB">
        <w:rPr>
          <w:rFonts w:ascii="Arial" w:hAnsi="Arial" w:cs="Arial"/>
        </w:rPr>
        <w:t>Lo anterior es así, dado que la Sala Superior del Tribunal Electoral del Poder Judicial de la Federación ha sido coincidente con diversos criterios emitidos por la Suprema Corte de Justicia de la Nación, como</w:t>
      </w:r>
      <w:r w:rsidRPr="00B4319C">
        <w:rPr>
          <w:rFonts w:ascii="Arial" w:hAnsi="Arial" w:cs="Arial"/>
        </w:rPr>
        <w:t xml:space="preserve"> el sostenido al resolver la Acción de Inconstitucionalidad 35/2014 </w:t>
      </w:r>
      <w:r w:rsidRPr="00B4319C">
        <w:rPr>
          <w:rFonts w:ascii="Arial" w:hAnsi="Arial" w:cs="Arial"/>
        </w:rPr>
        <w:lastRenderedPageBreak/>
        <w:t xml:space="preserve">y sus acumuladas, en la que se consideró que: </w:t>
      </w:r>
      <w:r w:rsidRPr="00B4319C">
        <w:rPr>
          <w:rFonts w:ascii="Arial" w:hAnsi="Arial" w:cs="Arial"/>
          <w:i/>
        </w:rPr>
        <w:t>“…en casos en que el legislador incluya a grupos históricamente discriminados en el ámbito de la norma, ya sea ampliando o igualando sus derechos (y no se trata de un caso de restricción de éstos), se está ante una distinción relevante</w:t>
      </w:r>
      <w:r w:rsidRPr="00B4319C">
        <w:rPr>
          <w:rFonts w:ascii="Arial" w:hAnsi="Arial" w:cs="Arial"/>
        </w:rPr>
        <w:t>”.</w:t>
      </w:r>
      <w:r w:rsidRPr="00B4319C">
        <w:rPr>
          <w:rFonts w:ascii="Arial" w:hAnsi="Arial" w:cs="Arial"/>
          <w:i/>
        </w:rPr>
        <w:t xml:space="preserve"> </w:t>
      </w:r>
      <w:r w:rsidRPr="00B4319C">
        <w:rPr>
          <w:rFonts w:ascii="Arial" w:hAnsi="Arial" w:cs="Arial"/>
        </w:rPr>
        <w:t xml:space="preserve">De igual forma, sostuvo que: </w:t>
      </w:r>
      <w:r w:rsidRPr="00B4319C">
        <w:rPr>
          <w:rFonts w:ascii="Arial" w:hAnsi="Arial" w:cs="Arial"/>
          <w:i/>
        </w:rPr>
        <w:t xml:space="preserve">“…fue en atención a un problema de discriminación estructural y generalizada de la mujer en el ámbito político-electoral que el órgano revisor de </w:t>
      </w:r>
      <w:r w:rsidRPr="00026955">
        <w:rPr>
          <w:rFonts w:ascii="Arial" w:hAnsi="Arial" w:cs="Arial"/>
          <w:i/>
          <w:u w:val="single"/>
        </w:rPr>
        <w:t>la Constitución concretizó el principio de igualdad e introdujo en el artículo 41 constitucional el principio de paridad de género, con el fin de garantizar la igual participación política de la mujer en su participación mediante candidaturas efectivas para la integración de los órganos de representación popular”.</w:t>
      </w:r>
    </w:p>
    <w:p w14:paraId="62DC9BAF" w14:textId="77777777" w:rsidR="00B4250A" w:rsidRDefault="00B4250A" w:rsidP="00B4250A">
      <w:pPr>
        <w:pStyle w:val="Prrafodelista"/>
        <w:autoSpaceDE w:val="0"/>
        <w:autoSpaceDN w:val="0"/>
        <w:adjustRightInd w:val="0"/>
        <w:spacing w:line="360" w:lineRule="auto"/>
        <w:ind w:left="0"/>
        <w:contextualSpacing/>
        <w:jc w:val="both"/>
        <w:rPr>
          <w:rFonts w:ascii="Arial" w:hAnsi="Arial" w:cs="Arial"/>
          <w:i/>
          <w:u w:val="single"/>
        </w:rPr>
      </w:pPr>
    </w:p>
    <w:p w14:paraId="444D6C14" w14:textId="77777777" w:rsidR="00B4250A" w:rsidRDefault="00B4250A" w:rsidP="00B4250A">
      <w:pPr>
        <w:pStyle w:val="Prrafodelista"/>
        <w:autoSpaceDE w:val="0"/>
        <w:autoSpaceDN w:val="0"/>
        <w:adjustRightInd w:val="0"/>
        <w:spacing w:after="0" w:line="360" w:lineRule="auto"/>
        <w:ind w:left="0"/>
        <w:contextualSpacing/>
        <w:jc w:val="both"/>
        <w:rPr>
          <w:rFonts w:ascii="Arial" w:hAnsi="Arial" w:cs="Arial"/>
        </w:rPr>
      </w:pPr>
      <w:r>
        <w:rPr>
          <w:rFonts w:ascii="Arial" w:hAnsi="Arial" w:cs="Arial"/>
        </w:rPr>
        <w:t>De manera adicional</w:t>
      </w:r>
      <w:r w:rsidRPr="00F6488B">
        <w:rPr>
          <w:rFonts w:ascii="Arial" w:hAnsi="Arial" w:cs="Arial"/>
        </w:rPr>
        <w:t xml:space="preserve">, se advierte que de los Derechos Humanos contenidos en el artículo 1º, párrafo tercero, de la Constitución Federal, en concordancia con el principio de progresividad de los derechos humanos, así como el apego irrestricto a los principios de paridad, igualdad y no discriminación, los cuales deben de ser protegidos y salvaguardados de forma totalmente amplia estando prohibido en todo momento la regresividad de alguno de ellos, </w:t>
      </w:r>
      <w:r>
        <w:rPr>
          <w:rFonts w:ascii="Arial" w:hAnsi="Arial" w:cs="Arial"/>
        </w:rPr>
        <w:t xml:space="preserve">por lo que </w:t>
      </w:r>
      <w:r w:rsidRPr="00F6488B">
        <w:rPr>
          <w:rFonts w:ascii="Arial" w:hAnsi="Arial" w:cs="Arial"/>
        </w:rPr>
        <w:t xml:space="preserve">esta autoridad administrativa electoral, se encuentra obligada a investirse del estudio y valoración de la evolución progresista para la </w:t>
      </w:r>
      <w:r>
        <w:rPr>
          <w:rFonts w:ascii="Arial" w:hAnsi="Arial" w:cs="Arial"/>
        </w:rPr>
        <w:t xml:space="preserve">protección de dichos principios y en ese sentido determina que en la 2da. Hipótesis que se analiza, </w:t>
      </w:r>
      <w:r>
        <w:rPr>
          <w:rFonts w:ascii="Arial" w:hAnsi="Arial" w:cs="Arial"/>
          <w:lang w:val="es-CO"/>
        </w:rPr>
        <w:t xml:space="preserve">relativa a que el Partido Político MORENA consulta la viabilidad de postular a un hombre en donde corresponde postular a una mujer, siendo el caso concreto en el Ayuntamiento de Ixtlahuacán, </w:t>
      </w:r>
      <w:r w:rsidRPr="00F6488B">
        <w:rPr>
          <w:rFonts w:ascii="Arial" w:hAnsi="Arial" w:cs="Arial"/>
        </w:rPr>
        <w:t xml:space="preserve">NO </w:t>
      </w:r>
      <w:r>
        <w:rPr>
          <w:rFonts w:ascii="Arial" w:hAnsi="Arial" w:cs="Arial"/>
        </w:rPr>
        <w:t xml:space="preserve">se </w:t>
      </w:r>
      <w:r w:rsidRPr="00F6488B">
        <w:rPr>
          <w:rFonts w:ascii="Arial" w:hAnsi="Arial" w:cs="Arial"/>
        </w:rPr>
        <w:t xml:space="preserve">cumple con </w:t>
      </w:r>
      <w:r>
        <w:rPr>
          <w:rFonts w:ascii="Arial" w:hAnsi="Arial" w:cs="Arial"/>
        </w:rPr>
        <w:t xml:space="preserve">lo establecido en los “Lineamientos de Paridad”, máxime que en dicho supuesto el bloque de competitividad baja quedaría conformado en su totalidad por hombres, y con esto se incumple lo mandatado por los “Lineamientos de Paridad” en el sentido de que pueden postularse más mujeres que hombres en el interior de cada bloque más no a la inversa. </w:t>
      </w:r>
    </w:p>
    <w:p w14:paraId="69381D7F" w14:textId="77777777" w:rsidR="00B4250A" w:rsidRDefault="00B4250A" w:rsidP="00B4250A">
      <w:pPr>
        <w:pStyle w:val="Prrafodelista"/>
        <w:autoSpaceDE w:val="0"/>
        <w:autoSpaceDN w:val="0"/>
        <w:adjustRightInd w:val="0"/>
        <w:spacing w:line="360" w:lineRule="auto"/>
        <w:ind w:left="0"/>
        <w:contextualSpacing/>
        <w:jc w:val="both"/>
        <w:rPr>
          <w:rFonts w:ascii="Arial" w:hAnsi="Arial" w:cs="Arial"/>
          <w:lang w:val="es-CO"/>
        </w:rPr>
      </w:pPr>
    </w:p>
    <w:p w14:paraId="28D06FFF" w14:textId="77777777" w:rsidR="00B4250A" w:rsidRDefault="00B4250A" w:rsidP="00B4250A">
      <w:pPr>
        <w:pStyle w:val="Prrafodelista"/>
        <w:autoSpaceDE w:val="0"/>
        <w:autoSpaceDN w:val="0"/>
        <w:adjustRightInd w:val="0"/>
        <w:spacing w:line="360" w:lineRule="auto"/>
        <w:ind w:left="0"/>
        <w:contextualSpacing/>
        <w:jc w:val="both"/>
        <w:rPr>
          <w:rFonts w:ascii="Arial" w:hAnsi="Arial" w:cs="Arial"/>
          <w:lang w:val="es-CO"/>
        </w:rPr>
      </w:pPr>
      <w:r>
        <w:rPr>
          <w:rFonts w:ascii="Arial" w:hAnsi="Arial" w:cs="Arial"/>
          <w:lang w:val="es-CO"/>
        </w:rPr>
        <w:t xml:space="preserve">Puede concluirse que respecto al supuesto que se pone en consideración, no se cumple con lo dispuesto en los “Lineamientos de Paridad” al proponerse en el bloque de competitividad baja del Ayuntamiento de Ixtlahuacán, el postularse a un hombre en el lugar de una mujer. </w:t>
      </w:r>
    </w:p>
    <w:p w14:paraId="5F6561D3" w14:textId="77777777" w:rsidR="00B4250A" w:rsidRDefault="00B4250A" w:rsidP="00B4250A">
      <w:pPr>
        <w:pStyle w:val="Prrafodelista"/>
        <w:autoSpaceDE w:val="0"/>
        <w:autoSpaceDN w:val="0"/>
        <w:adjustRightInd w:val="0"/>
        <w:spacing w:line="360" w:lineRule="auto"/>
        <w:ind w:left="0"/>
        <w:contextualSpacing/>
        <w:jc w:val="both"/>
        <w:rPr>
          <w:rFonts w:ascii="Arial" w:hAnsi="Arial" w:cs="Arial"/>
          <w:lang w:val="es-CO"/>
        </w:rPr>
      </w:pPr>
    </w:p>
    <w:p w14:paraId="4F66D3D6" w14:textId="77777777" w:rsidR="00E65B65" w:rsidRPr="00043732" w:rsidRDefault="00E65B65" w:rsidP="00E65B65">
      <w:pPr>
        <w:pStyle w:val="Sinespaciado"/>
        <w:spacing w:line="360" w:lineRule="auto"/>
        <w:jc w:val="both"/>
        <w:rPr>
          <w:rFonts w:ascii="Arial" w:eastAsia="Calibri" w:hAnsi="Arial" w:cs="Arial"/>
          <w:sz w:val="22"/>
          <w:szCs w:val="22"/>
        </w:rPr>
      </w:pPr>
      <w:r>
        <w:rPr>
          <w:rFonts w:ascii="Arial" w:hAnsi="Arial" w:cs="Arial"/>
          <w:b/>
          <w:sz w:val="22"/>
          <w:szCs w:val="22"/>
        </w:rPr>
        <w:t>1</w:t>
      </w:r>
      <w:r w:rsidR="00F2406F">
        <w:rPr>
          <w:rFonts w:ascii="Arial" w:hAnsi="Arial" w:cs="Arial"/>
          <w:b/>
          <w:sz w:val="22"/>
          <w:szCs w:val="22"/>
        </w:rPr>
        <w:t>0</w:t>
      </w:r>
      <w:r w:rsidRPr="00346288">
        <w:rPr>
          <w:rFonts w:ascii="Arial" w:hAnsi="Arial" w:cs="Arial"/>
          <w:b/>
          <w:sz w:val="22"/>
          <w:szCs w:val="22"/>
        </w:rPr>
        <w:t xml:space="preserve">ª.- </w:t>
      </w:r>
      <w:r w:rsidRPr="00043732">
        <w:rPr>
          <w:rFonts w:ascii="Arial" w:hAnsi="Arial" w:cs="Arial"/>
          <w:sz w:val="22"/>
          <w:szCs w:val="22"/>
        </w:rPr>
        <w:t xml:space="preserve">En mérito de lo expuesto en las consideraciones anteriores, con fundamento en el </w:t>
      </w:r>
      <w:r w:rsidRPr="00043732">
        <w:rPr>
          <w:rFonts w:ascii="Arial" w:eastAsia="Calibri" w:hAnsi="Arial" w:cs="Arial"/>
          <w:sz w:val="22"/>
          <w:szCs w:val="22"/>
        </w:rPr>
        <w:t>artículo 114, fracción X del Código Electoral del Estado</w:t>
      </w:r>
      <w:r w:rsidRPr="00043732">
        <w:rPr>
          <w:rFonts w:ascii="Arial" w:hAnsi="Arial" w:cs="Arial"/>
          <w:sz w:val="22"/>
          <w:szCs w:val="22"/>
        </w:rPr>
        <w:t xml:space="preserve">, </w:t>
      </w:r>
      <w:r w:rsidRPr="00043732">
        <w:rPr>
          <w:rFonts w:ascii="Arial" w:hAnsi="Arial" w:cs="Arial"/>
          <w:sz w:val="22"/>
          <w:szCs w:val="22"/>
          <w:lang w:val="es-ES_tradnl"/>
        </w:rPr>
        <w:t xml:space="preserve">este Consejo General </w:t>
      </w:r>
      <w:r w:rsidRPr="00043732">
        <w:rPr>
          <w:rFonts w:ascii="Arial" w:hAnsi="Arial" w:cs="Arial"/>
          <w:sz w:val="22"/>
          <w:szCs w:val="22"/>
        </w:rPr>
        <w:t xml:space="preserve">tiene por desahogada la Consulta de fecha </w:t>
      </w:r>
      <w:r w:rsidR="00043732" w:rsidRPr="00043732">
        <w:rPr>
          <w:rFonts w:ascii="Arial" w:hAnsi="Arial" w:cs="Arial"/>
          <w:sz w:val="22"/>
          <w:szCs w:val="22"/>
        </w:rPr>
        <w:t>02 de febrero</w:t>
      </w:r>
      <w:r w:rsidRPr="00043732">
        <w:rPr>
          <w:rFonts w:ascii="Arial" w:hAnsi="Arial" w:cs="Arial"/>
          <w:sz w:val="22"/>
          <w:szCs w:val="22"/>
        </w:rPr>
        <w:t xml:space="preserve"> de 2021, planteada por el </w:t>
      </w:r>
      <w:r w:rsidR="00043732" w:rsidRPr="00043732">
        <w:rPr>
          <w:rFonts w:ascii="Arial" w:eastAsia="Calibri" w:hAnsi="Arial" w:cs="Arial"/>
          <w:sz w:val="22"/>
          <w:szCs w:val="22"/>
        </w:rPr>
        <w:t xml:space="preserve">C. Arnoldo Vizcaíno </w:t>
      </w:r>
      <w:r w:rsidR="00043732" w:rsidRPr="00043732">
        <w:rPr>
          <w:rFonts w:ascii="Arial" w:eastAsia="Calibri" w:hAnsi="Arial" w:cs="Arial"/>
          <w:sz w:val="22"/>
          <w:szCs w:val="22"/>
        </w:rPr>
        <w:lastRenderedPageBreak/>
        <w:t>Rodríguez, en su carácter de Comisionado Propietario del Partido MORENA ante el Consejo General del organismo electoral</w:t>
      </w:r>
      <w:r w:rsidRPr="00043732">
        <w:rPr>
          <w:rFonts w:ascii="Arial" w:eastAsia="Calibri" w:hAnsi="Arial" w:cs="Arial"/>
          <w:sz w:val="22"/>
          <w:szCs w:val="22"/>
        </w:rPr>
        <w:t>.</w:t>
      </w:r>
    </w:p>
    <w:p w14:paraId="36D9A012" w14:textId="77777777" w:rsidR="00E65B65" w:rsidRPr="00043732" w:rsidRDefault="00E65B65" w:rsidP="00E65B65">
      <w:pPr>
        <w:pStyle w:val="Prrafodelista"/>
        <w:autoSpaceDE w:val="0"/>
        <w:autoSpaceDN w:val="0"/>
        <w:adjustRightInd w:val="0"/>
        <w:spacing w:after="0" w:line="360" w:lineRule="auto"/>
        <w:ind w:left="0"/>
        <w:contextualSpacing/>
        <w:jc w:val="both"/>
        <w:rPr>
          <w:rFonts w:ascii="Arial" w:eastAsia="Calibri" w:hAnsi="Arial" w:cs="Arial"/>
        </w:rPr>
      </w:pPr>
    </w:p>
    <w:p w14:paraId="55DE9885" w14:textId="77777777" w:rsidR="00E65B65" w:rsidRPr="00346288" w:rsidRDefault="00E65B65" w:rsidP="00E65B65">
      <w:pPr>
        <w:pStyle w:val="Prrafodelista"/>
        <w:autoSpaceDE w:val="0"/>
        <w:autoSpaceDN w:val="0"/>
        <w:adjustRightInd w:val="0"/>
        <w:spacing w:after="0" w:line="360" w:lineRule="auto"/>
        <w:ind w:left="0"/>
        <w:contextualSpacing/>
        <w:jc w:val="both"/>
        <w:rPr>
          <w:rFonts w:ascii="Arial" w:eastAsia="Calibri" w:hAnsi="Arial" w:cs="Arial"/>
        </w:rPr>
      </w:pPr>
      <w:r w:rsidRPr="00346288">
        <w:rPr>
          <w:rFonts w:ascii="Arial" w:hAnsi="Arial" w:cs="Arial"/>
        </w:rPr>
        <w:t xml:space="preserve">En razón de </w:t>
      </w:r>
      <w:r w:rsidRPr="00346288">
        <w:rPr>
          <w:rFonts w:ascii="Arial" w:eastAsia="Calibri" w:hAnsi="Arial" w:cs="Arial"/>
        </w:rPr>
        <w:t>los antecedentes expuestos y de conformidad con los fundamentos jurídicos manifestados con antelación, resulta procedente emitir los siguientes puntos de</w:t>
      </w:r>
    </w:p>
    <w:p w14:paraId="578E192E" w14:textId="77777777" w:rsidR="00E65B65" w:rsidRPr="00346288" w:rsidRDefault="00E65B65" w:rsidP="00E65B65">
      <w:pPr>
        <w:spacing w:line="360" w:lineRule="auto"/>
        <w:jc w:val="both"/>
        <w:rPr>
          <w:rFonts w:ascii="Arial" w:eastAsia="Calibri" w:hAnsi="Arial" w:cs="Arial"/>
          <w:b/>
          <w:sz w:val="22"/>
          <w:szCs w:val="22"/>
          <w:lang w:eastAsia="en-US"/>
        </w:rPr>
      </w:pPr>
    </w:p>
    <w:p w14:paraId="0168E503" w14:textId="77777777" w:rsidR="00E65B65" w:rsidRPr="00346288" w:rsidRDefault="00E65B65" w:rsidP="00E65B65">
      <w:pPr>
        <w:spacing w:line="360" w:lineRule="auto"/>
        <w:jc w:val="center"/>
        <w:rPr>
          <w:rFonts w:ascii="Arial" w:eastAsia="Calibri" w:hAnsi="Arial" w:cs="Arial"/>
          <w:b/>
          <w:sz w:val="22"/>
          <w:szCs w:val="22"/>
          <w:lang w:val="es-MX" w:eastAsia="en-US"/>
        </w:rPr>
      </w:pPr>
      <w:r w:rsidRPr="00346288">
        <w:rPr>
          <w:rFonts w:ascii="Arial" w:eastAsia="Calibri" w:hAnsi="Arial" w:cs="Arial"/>
          <w:b/>
          <w:sz w:val="22"/>
          <w:szCs w:val="22"/>
          <w:lang w:val="es-MX" w:eastAsia="en-US"/>
        </w:rPr>
        <w:t>A C U E R D O:</w:t>
      </w:r>
    </w:p>
    <w:p w14:paraId="30265BC3" w14:textId="77777777" w:rsidR="00E65B65" w:rsidRPr="00346288" w:rsidRDefault="00E65B65" w:rsidP="00E65B65">
      <w:pPr>
        <w:spacing w:line="360" w:lineRule="auto"/>
        <w:jc w:val="center"/>
        <w:rPr>
          <w:rFonts w:ascii="Arial" w:eastAsia="Calibri" w:hAnsi="Arial" w:cs="Arial"/>
          <w:b/>
          <w:sz w:val="22"/>
          <w:szCs w:val="22"/>
          <w:lang w:val="es-MX" w:eastAsia="en-US"/>
        </w:rPr>
      </w:pPr>
    </w:p>
    <w:p w14:paraId="4A9B201B" w14:textId="77777777" w:rsidR="00E65B65" w:rsidRPr="00346288" w:rsidRDefault="00E65B65" w:rsidP="00E65B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PRIMERO.</w:t>
      </w:r>
      <w:r w:rsidRPr="00346288">
        <w:rPr>
          <w:rFonts w:ascii="Arial" w:eastAsia="Calibri" w:hAnsi="Arial" w:cs="Arial"/>
          <w:sz w:val="22"/>
          <w:szCs w:val="22"/>
          <w:lang w:val="es-MX" w:eastAsia="en-US"/>
        </w:rPr>
        <w:t xml:space="preserve"> Este Consejo General del Instituto Electoral del Estado, tiene por desahogada la consulta que con fundamento en el artículo 114</w:t>
      </w:r>
      <w:r w:rsidR="00043732">
        <w:rPr>
          <w:rFonts w:ascii="Arial" w:eastAsia="Calibri" w:hAnsi="Arial" w:cs="Arial"/>
          <w:sz w:val="22"/>
          <w:szCs w:val="22"/>
          <w:lang w:val="es-MX" w:eastAsia="en-US"/>
        </w:rPr>
        <w:t>,</w:t>
      </w:r>
      <w:r w:rsidRPr="00346288">
        <w:rPr>
          <w:rFonts w:ascii="Arial" w:eastAsia="Calibri" w:hAnsi="Arial" w:cs="Arial"/>
          <w:sz w:val="22"/>
          <w:szCs w:val="22"/>
          <w:lang w:val="es-MX" w:eastAsia="en-US"/>
        </w:rPr>
        <w:t xml:space="preserve"> fracción X</w:t>
      </w:r>
      <w:r w:rsidR="00043732">
        <w:rPr>
          <w:rFonts w:ascii="Arial" w:eastAsia="Calibri" w:hAnsi="Arial" w:cs="Arial"/>
          <w:sz w:val="22"/>
          <w:szCs w:val="22"/>
          <w:lang w:val="es-MX" w:eastAsia="en-US"/>
        </w:rPr>
        <w:t>,</w:t>
      </w:r>
      <w:r w:rsidRPr="00346288">
        <w:rPr>
          <w:rFonts w:ascii="Arial" w:eastAsia="Calibri" w:hAnsi="Arial" w:cs="Arial"/>
          <w:sz w:val="22"/>
          <w:szCs w:val="22"/>
          <w:lang w:val="es-MX" w:eastAsia="en-US"/>
        </w:rPr>
        <w:t xml:space="preserve"> del Código Electoral del Estado de Colima, formuló el </w:t>
      </w:r>
      <w:r w:rsidR="00043732" w:rsidRPr="00043732">
        <w:rPr>
          <w:rFonts w:ascii="Arial" w:eastAsia="Calibri" w:hAnsi="Arial" w:cs="Arial"/>
          <w:sz w:val="22"/>
          <w:szCs w:val="22"/>
        </w:rPr>
        <w:t>C. Arnoldo Vizcaíno Rodríguez, en su carácter de Comisionado Propietario del Partido MORENA</w:t>
      </w:r>
      <w:r w:rsidRPr="00346288">
        <w:rPr>
          <w:rFonts w:ascii="Arial" w:eastAsia="Calibri" w:hAnsi="Arial" w:cs="Arial"/>
          <w:sz w:val="22"/>
          <w:szCs w:val="22"/>
        </w:rPr>
        <w:t xml:space="preserve"> ante el Consejo General</w:t>
      </w:r>
      <w:r w:rsidRPr="00346288">
        <w:rPr>
          <w:rFonts w:ascii="Arial" w:eastAsia="Calibri" w:hAnsi="Arial" w:cs="Arial"/>
          <w:sz w:val="22"/>
          <w:szCs w:val="22"/>
          <w:lang w:val="es-MX" w:eastAsia="en-US"/>
        </w:rPr>
        <w:t xml:space="preserve">, en los términos de las consideraciones expuestas. </w:t>
      </w:r>
    </w:p>
    <w:p w14:paraId="3C2B901A" w14:textId="77777777" w:rsidR="00E65B65" w:rsidRPr="00346288" w:rsidRDefault="00E65B65" w:rsidP="00E65B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6E4400F8" w14:textId="77777777" w:rsidR="00E65B65" w:rsidRPr="00346288" w:rsidRDefault="00E65B65" w:rsidP="00E65B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SEGUNDO.</w:t>
      </w:r>
      <w:r w:rsidRPr="00346288">
        <w:rPr>
          <w:rFonts w:ascii="Arial" w:eastAsia="Calibri" w:hAnsi="Arial" w:cs="Arial"/>
          <w:sz w:val="22"/>
          <w:szCs w:val="22"/>
          <w:lang w:val="es-MX" w:eastAsia="en-US"/>
        </w:rPr>
        <w:t xml:space="preserve"> Notifíquese el presente Acuerdo, por conducto de la Secretaría Ejecutiva, al promovente y a todos los partidos políticos acreditados y con registro ante este Consejo General, para que surtan los efectos legales y administrativos correspondientes.</w:t>
      </w:r>
    </w:p>
    <w:p w14:paraId="41E62DE5" w14:textId="77777777" w:rsidR="00E65B65" w:rsidRPr="00346288" w:rsidRDefault="00E65B65" w:rsidP="00E65B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367B7126" w14:textId="77777777" w:rsidR="00E65B65" w:rsidRPr="00346288" w:rsidRDefault="00E65B65" w:rsidP="00E65B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TERCERO.</w:t>
      </w:r>
      <w:r w:rsidRPr="00346288">
        <w:rPr>
          <w:rFonts w:ascii="Arial" w:eastAsia="Calibri" w:hAnsi="Arial" w:cs="Arial"/>
          <w:sz w:val="22"/>
          <w:szCs w:val="22"/>
          <w:lang w:val="es-MX" w:eastAsia="en-US"/>
        </w:rPr>
        <w:t xml:space="preserve"> Con fundamento en los artículos 113 del Código Electoral del Estado de Colima, 76 y 77 del Reglamento de Sesiones de este Consejo General, publíquese el presente Acuerdo en el Periódico Oficial “</w:t>
      </w:r>
      <w:r w:rsidRPr="00346288">
        <w:rPr>
          <w:rFonts w:ascii="Arial" w:eastAsia="Calibri" w:hAnsi="Arial" w:cs="Arial"/>
          <w:i/>
          <w:sz w:val="22"/>
          <w:szCs w:val="22"/>
          <w:lang w:val="es-MX" w:eastAsia="en-US"/>
        </w:rPr>
        <w:t>El Estado de Colima</w:t>
      </w:r>
      <w:r w:rsidRPr="00346288">
        <w:rPr>
          <w:rFonts w:ascii="Arial" w:eastAsia="Calibri" w:hAnsi="Arial" w:cs="Arial"/>
          <w:sz w:val="22"/>
          <w:szCs w:val="22"/>
          <w:lang w:val="es-MX" w:eastAsia="en-US"/>
        </w:rPr>
        <w:t>” y en la página de internet del Instituto Electoral del Estado.</w:t>
      </w:r>
    </w:p>
    <w:p w14:paraId="38B0992B" w14:textId="77777777" w:rsidR="00E65B65" w:rsidRPr="00346288" w:rsidRDefault="00E65B65" w:rsidP="00E65B65">
      <w:pPr>
        <w:rPr>
          <w:sz w:val="22"/>
          <w:szCs w:val="22"/>
        </w:rPr>
      </w:pPr>
    </w:p>
    <w:p w14:paraId="78777A51" w14:textId="04E03DD5" w:rsidR="007F0F5E" w:rsidRDefault="007F0F5E" w:rsidP="007F0F5E">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Novena Sesión Ordinaria del Proceso Electoral Local 2020-2021 del Consejo General, celebrada el 15 (quince) de febrero de 2021 (dos mil veintiuno), por unanimidad de votos a favor de las </w:t>
      </w:r>
      <w:proofErr w:type="gramStart"/>
      <w:r>
        <w:rPr>
          <w:rFonts w:ascii="Arial" w:eastAsia="Calibri" w:hAnsi="Arial" w:cs="Arial"/>
          <w:sz w:val="22"/>
          <w:szCs w:val="22"/>
          <w:lang w:val="es-MX" w:eastAsia="en-US"/>
        </w:rPr>
        <w:t>Consejeras</w:t>
      </w:r>
      <w:proofErr w:type="gramEnd"/>
      <w:r>
        <w:rPr>
          <w:rFonts w:ascii="Arial" w:eastAsia="Calibri" w:hAnsi="Arial" w:cs="Arial"/>
          <w:sz w:val="22"/>
          <w:szCs w:val="22"/>
          <w:lang w:val="es-MX" w:eastAsia="en-US"/>
        </w:rPr>
        <w:t xml:space="preserve"> y Consejero Electorales: Maestra Nirvana Fabiola Rosales Ochoa, Mtra. Martha Elba Iza Huerta, Maestra Arlen Alejandra Martínez Fuentes, Licenciada Rosa Elizabeth Carrillo Ruiz, Licenciado Juan Ramírez Ramos y Doctora Ana Florencia Romano Sánchez. </w:t>
      </w:r>
    </w:p>
    <w:p w14:paraId="29B0D186" w14:textId="7F62BD8B" w:rsidR="007F0F5E" w:rsidRDefault="007F0F5E" w:rsidP="007F0F5E">
      <w:pPr>
        <w:spacing w:line="360" w:lineRule="auto"/>
        <w:jc w:val="both"/>
        <w:rPr>
          <w:rFonts w:ascii="Arial" w:eastAsia="Calibri" w:hAnsi="Arial" w:cs="Arial"/>
          <w:sz w:val="22"/>
          <w:szCs w:val="22"/>
          <w:lang w:val="es-MX" w:eastAsia="en-US"/>
        </w:rPr>
      </w:pPr>
    </w:p>
    <w:p w14:paraId="0A0E82B9" w14:textId="69B9A52F" w:rsidR="007F0F5E" w:rsidRDefault="007F0F5E" w:rsidP="007F0F5E">
      <w:pPr>
        <w:spacing w:line="360" w:lineRule="auto"/>
        <w:jc w:val="both"/>
        <w:rPr>
          <w:rFonts w:ascii="Arial" w:eastAsia="Calibri" w:hAnsi="Arial" w:cs="Arial"/>
          <w:sz w:val="22"/>
          <w:szCs w:val="22"/>
          <w:lang w:val="es-MX" w:eastAsia="en-US"/>
        </w:rPr>
      </w:pPr>
    </w:p>
    <w:p w14:paraId="1202DBD6" w14:textId="77777777" w:rsidR="007F0F5E" w:rsidRDefault="007F0F5E" w:rsidP="007F0F5E">
      <w:pPr>
        <w:spacing w:line="360" w:lineRule="auto"/>
        <w:jc w:val="both"/>
        <w:rPr>
          <w:rFonts w:ascii="Arial" w:eastAsia="Calibri" w:hAnsi="Arial" w:cs="Arial"/>
          <w:sz w:val="22"/>
          <w:szCs w:val="22"/>
          <w:lang w:val="es-MX" w:eastAsia="en-US"/>
        </w:rPr>
      </w:pPr>
    </w:p>
    <w:p w14:paraId="1A9C62D3" w14:textId="77777777" w:rsidR="007F0F5E" w:rsidRPr="00386D50" w:rsidRDefault="007F0F5E" w:rsidP="007F0F5E">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7F0F5E" w14:paraId="5B01AD00" w14:textId="77777777" w:rsidTr="00F81995">
        <w:tc>
          <w:tcPr>
            <w:tcW w:w="4628" w:type="dxa"/>
            <w:hideMark/>
          </w:tcPr>
          <w:p w14:paraId="7C87F39E" w14:textId="77777777" w:rsidR="007F0F5E" w:rsidRDefault="007F0F5E" w:rsidP="00F81995">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lastRenderedPageBreak/>
              <w:t>CONSEJERA PRESIDENTA</w:t>
            </w:r>
          </w:p>
        </w:tc>
        <w:tc>
          <w:tcPr>
            <w:tcW w:w="4340" w:type="dxa"/>
            <w:gridSpan w:val="2"/>
            <w:hideMark/>
          </w:tcPr>
          <w:p w14:paraId="0699F2BB" w14:textId="77777777" w:rsidR="007F0F5E" w:rsidRDefault="007F0F5E" w:rsidP="00F81995">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7F0F5E" w14:paraId="7A1AB3CB" w14:textId="77777777" w:rsidTr="00F81995">
        <w:tc>
          <w:tcPr>
            <w:tcW w:w="4628" w:type="dxa"/>
          </w:tcPr>
          <w:p w14:paraId="6A56B443" w14:textId="77777777" w:rsidR="007F0F5E" w:rsidRDefault="007F0F5E" w:rsidP="00F81995">
            <w:pPr>
              <w:spacing w:line="276" w:lineRule="auto"/>
              <w:ind w:right="-11"/>
              <w:rPr>
                <w:rFonts w:ascii="Arial" w:eastAsia="Arial" w:hAnsi="Arial" w:cs="Arial"/>
                <w:sz w:val="20"/>
                <w:szCs w:val="20"/>
                <w:lang w:val="es-MX" w:eastAsia="en-US"/>
              </w:rPr>
            </w:pPr>
          </w:p>
          <w:p w14:paraId="1B4E5153" w14:textId="77777777" w:rsidR="007F0F5E" w:rsidRDefault="007F0F5E" w:rsidP="00F81995">
            <w:pPr>
              <w:spacing w:line="276" w:lineRule="auto"/>
              <w:ind w:right="-11"/>
              <w:rPr>
                <w:rFonts w:ascii="Arial" w:eastAsia="Arial" w:hAnsi="Arial" w:cs="Arial"/>
                <w:lang w:val="es-MX" w:eastAsia="en-US"/>
              </w:rPr>
            </w:pPr>
          </w:p>
          <w:p w14:paraId="26928E9B" w14:textId="77777777" w:rsidR="007F0F5E" w:rsidRDefault="007F0F5E" w:rsidP="00F81995">
            <w:pPr>
              <w:spacing w:line="276" w:lineRule="auto"/>
              <w:ind w:right="-11"/>
              <w:rPr>
                <w:rFonts w:ascii="Arial" w:eastAsia="Arial" w:hAnsi="Arial" w:cs="Arial"/>
                <w:lang w:val="es-MX" w:eastAsia="en-US"/>
              </w:rPr>
            </w:pPr>
          </w:p>
          <w:p w14:paraId="5F75A5A6" w14:textId="77777777" w:rsidR="007F0F5E" w:rsidRDefault="007F0F5E" w:rsidP="00F81995">
            <w:pPr>
              <w:spacing w:line="276" w:lineRule="auto"/>
              <w:ind w:right="-11"/>
              <w:rPr>
                <w:rFonts w:ascii="Arial" w:eastAsia="Arial" w:hAnsi="Arial" w:cs="Arial"/>
                <w:sz w:val="20"/>
                <w:szCs w:val="20"/>
                <w:lang w:val="es-MX" w:eastAsia="en-US"/>
              </w:rPr>
            </w:pPr>
          </w:p>
          <w:p w14:paraId="3F60CD3D" w14:textId="77777777" w:rsidR="007F0F5E" w:rsidRDefault="007F0F5E" w:rsidP="00F81995">
            <w:pPr>
              <w:spacing w:line="276" w:lineRule="auto"/>
              <w:ind w:right="-11"/>
              <w:rPr>
                <w:rFonts w:ascii="Arial" w:eastAsia="Arial" w:hAnsi="Arial" w:cs="Arial"/>
                <w:sz w:val="20"/>
                <w:szCs w:val="20"/>
                <w:lang w:val="es-MX" w:eastAsia="en-US"/>
              </w:rPr>
            </w:pPr>
          </w:p>
          <w:p w14:paraId="7FAE6144" w14:textId="77777777" w:rsidR="007F0F5E" w:rsidRDefault="007F0F5E" w:rsidP="00F81995">
            <w:pPr>
              <w:spacing w:line="276" w:lineRule="auto"/>
              <w:ind w:right="-11"/>
              <w:rPr>
                <w:rFonts w:ascii="Arial" w:eastAsia="Arial" w:hAnsi="Arial" w:cs="Arial"/>
                <w:sz w:val="20"/>
                <w:szCs w:val="20"/>
                <w:lang w:val="es-MX" w:eastAsia="en-US"/>
              </w:rPr>
            </w:pPr>
          </w:p>
        </w:tc>
        <w:tc>
          <w:tcPr>
            <w:tcW w:w="4340" w:type="dxa"/>
            <w:gridSpan w:val="2"/>
          </w:tcPr>
          <w:p w14:paraId="5FD6722D" w14:textId="77777777" w:rsidR="007F0F5E" w:rsidRDefault="007F0F5E" w:rsidP="00F81995">
            <w:pPr>
              <w:spacing w:line="276" w:lineRule="auto"/>
              <w:ind w:right="-11"/>
              <w:jc w:val="center"/>
              <w:rPr>
                <w:rFonts w:ascii="Arial" w:eastAsia="Arial" w:hAnsi="Arial" w:cs="Arial"/>
                <w:sz w:val="20"/>
                <w:szCs w:val="20"/>
                <w:lang w:val="en-US" w:eastAsia="en-US"/>
              </w:rPr>
            </w:pPr>
          </w:p>
          <w:p w14:paraId="40E70795" w14:textId="77777777" w:rsidR="007F0F5E" w:rsidRDefault="007F0F5E" w:rsidP="00F81995">
            <w:pPr>
              <w:spacing w:line="276" w:lineRule="auto"/>
              <w:ind w:right="-11"/>
              <w:jc w:val="center"/>
              <w:rPr>
                <w:rFonts w:ascii="Arial" w:eastAsia="Arial" w:hAnsi="Arial" w:cs="Arial"/>
                <w:sz w:val="20"/>
                <w:szCs w:val="20"/>
                <w:lang w:val="en-US" w:eastAsia="en-US"/>
              </w:rPr>
            </w:pPr>
          </w:p>
        </w:tc>
      </w:tr>
      <w:tr w:rsidR="007F0F5E" w14:paraId="4A0DDA66" w14:textId="77777777" w:rsidTr="00F81995">
        <w:tc>
          <w:tcPr>
            <w:tcW w:w="4628" w:type="dxa"/>
            <w:hideMark/>
          </w:tcPr>
          <w:p w14:paraId="6D707CB0" w14:textId="77777777" w:rsidR="007F0F5E" w:rsidRDefault="007F0F5E" w:rsidP="00F81995">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w:t>
            </w:r>
          </w:p>
        </w:tc>
        <w:tc>
          <w:tcPr>
            <w:tcW w:w="4340" w:type="dxa"/>
            <w:gridSpan w:val="2"/>
            <w:hideMark/>
          </w:tcPr>
          <w:p w14:paraId="0F6C5537" w14:textId="77777777" w:rsidR="007F0F5E" w:rsidRDefault="007F0F5E" w:rsidP="00F8199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7F0F5E" w14:paraId="64E5F560" w14:textId="77777777" w:rsidTr="00F81995">
        <w:tc>
          <w:tcPr>
            <w:tcW w:w="4628" w:type="dxa"/>
            <w:hideMark/>
          </w:tcPr>
          <w:p w14:paraId="10805678" w14:textId="77777777" w:rsidR="007F0F5E" w:rsidRDefault="007F0F5E" w:rsidP="00F81995">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tc>
        <w:tc>
          <w:tcPr>
            <w:tcW w:w="4340" w:type="dxa"/>
            <w:gridSpan w:val="2"/>
            <w:hideMark/>
          </w:tcPr>
          <w:p w14:paraId="26820426" w14:textId="77777777" w:rsidR="007F0F5E" w:rsidRDefault="007F0F5E" w:rsidP="00F81995">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7F0F5E" w14:paraId="2ECE867A" w14:textId="77777777" w:rsidTr="00F81995">
        <w:tc>
          <w:tcPr>
            <w:tcW w:w="8968" w:type="dxa"/>
            <w:gridSpan w:val="3"/>
          </w:tcPr>
          <w:p w14:paraId="65036054" w14:textId="77777777" w:rsidR="007F0F5E" w:rsidRDefault="007F0F5E" w:rsidP="00F81995">
            <w:pPr>
              <w:spacing w:line="276" w:lineRule="auto"/>
              <w:ind w:right="-11"/>
              <w:jc w:val="center"/>
              <w:rPr>
                <w:rFonts w:ascii="Arial" w:eastAsia="Arial" w:hAnsi="Arial" w:cs="Arial"/>
                <w:b/>
                <w:sz w:val="2"/>
                <w:szCs w:val="20"/>
                <w:lang w:val="es-MX" w:eastAsia="en-US"/>
              </w:rPr>
            </w:pPr>
          </w:p>
          <w:p w14:paraId="4D936B67" w14:textId="77777777" w:rsidR="007F0F5E" w:rsidRDefault="007F0F5E" w:rsidP="00F81995">
            <w:pPr>
              <w:spacing w:line="276" w:lineRule="auto"/>
              <w:ind w:right="-11"/>
              <w:rPr>
                <w:rFonts w:ascii="Arial" w:eastAsia="Arial" w:hAnsi="Arial" w:cs="Arial"/>
                <w:b/>
                <w:sz w:val="2"/>
                <w:szCs w:val="20"/>
                <w:lang w:val="es-MX" w:eastAsia="en-US"/>
              </w:rPr>
            </w:pPr>
          </w:p>
          <w:p w14:paraId="2B8C360C" w14:textId="77777777" w:rsidR="007F0F5E" w:rsidRDefault="007F0F5E" w:rsidP="00F81995">
            <w:pPr>
              <w:spacing w:line="276" w:lineRule="auto"/>
              <w:ind w:right="-11"/>
              <w:jc w:val="center"/>
              <w:rPr>
                <w:rFonts w:ascii="Arial" w:eastAsia="Arial" w:hAnsi="Arial" w:cs="Arial"/>
                <w:b/>
                <w:sz w:val="2"/>
                <w:szCs w:val="20"/>
                <w:lang w:val="es-MX" w:eastAsia="en-US"/>
              </w:rPr>
            </w:pPr>
          </w:p>
          <w:p w14:paraId="3D0225DA" w14:textId="77777777" w:rsidR="007F0F5E" w:rsidRDefault="007F0F5E" w:rsidP="00F81995">
            <w:pPr>
              <w:spacing w:line="276" w:lineRule="auto"/>
              <w:ind w:right="-11"/>
              <w:jc w:val="center"/>
              <w:rPr>
                <w:rFonts w:ascii="Arial" w:eastAsia="Arial" w:hAnsi="Arial" w:cs="Arial"/>
                <w:b/>
                <w:sz w:val="2"/>
                <w:szCs w:val="20"/>
                <w:lang w:val="es-MX" w:eastAsia="en-US"/>
              </w:rPr>
            </w:pPr>
          </w:p>
          <w:p w14:paraId="1672FE94" w14:textId="77777777" w:rsidR="007F0F5E" w:rsidRDefault="007F0F5E" w:rsidP="00F81995">
            <w:pPr>
              <w:spacing w:line="276" w:lineRule="auto"/>
              <w:ind w:right="-11"/>
              <w:rPr>
                <w:rFonts w:ascii="Arial" w:eastAsia="Arial" w:hAnsi="Arial" w:cs="Arial"/>
                <w:b/>
                <w:sz w:val="2"/>
                <w:szCs w:val="2"/>
                <w:lang w:val="es-MX" w:eastAsia="en-US"/>
              </w:rPr>
            </w:pPr>
          </w:p>
          <w:p w14:paraId="549D3A33" w14:textId="77777777" w:rsidR="007F0F5E" w:rsidRDefault="007F0F5E" w:rsidP="00F81995">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7F0F5E" w14:paraId="01629AEF" w14:textId="77777777" w:rsidTr="00F81995">
        <w:tc>
          <w:tcPr>
            <w:tcW w:w="4628" w:type="dxa"/>
          </w:tcPr>
          <w:p w14:paraId="4409C8E4" w14:textId="77777777" w:rsidR="007F0F5E" w:rsidRDefault="007F0F5E" w:rsidP="00F81995">
            <w:pPr>
              <w:spacing w:line="276" w:lineRule="auto"/>
              <w:ind w:right="-11"/>
              <w:jc w:val="center"/>
              <w:rPr>
                <w:rFonts w:ascii="Arial" w:eastAsia="Arial" w:hAnsi="Arial" w:cs="Arial"/>
                <w:sz w:val="20"/>
                <w:szCs w:val="18"/>
                <w:lang w:val="en-US" w:eastAsia="en-US"/>
              </w:rPr>
            </w:pPr>
          </w:p>
          <w:p w14:paraId="466CB31C" w14:textId="77777777" w:rsidR="007F0F5E" w:rsidRDefault="007F0F5E" w:rsidP="00F81995">
            <w:pPr>
              <w:spacing w:line="276" w:lineRule="auto"/>
              <w:ind w:right="-11"/>
              <w:jc w:val="center"/>
              <w:rPr>
                <w:rFonts w:ascii="Arial" w:eastAsia="Arial" w:hAnsi="Arial" w:cs="Arial"/>
                <w:sz w:val="20"/>
                <w:szCs w:val="18"/>
                <w:lang w:val="en-US" w:eastAsia="en-US"/>
              </w:rPr>
            </w:pPr>
          </w:p>
          <w:p w14:paraId="532022AC" w14:textId="77777777" w:rsidR="007F0F5E" w:rsidRDefault="007F0F5E" w:rsidP="00F81995">
            <w:pPr>
              <w:spacing w:line="276" w:lineRule="auto"/>
              <w:ind w:right="-11"/>
              <w:jc w:val="center"/>
              <w:rPr>
                <w:rFonts w:ascii="Arial" w:eastAsia="Arial" w:hAnsi="Arial" w:cs="Arial"/>
                <w:sz w:val="20"/>
                <w:szCs w:val="18"/>
                <w:lang w:val="en-US" w:eastAsia="en-US"/>
              </w:rPr>
            </w:pPr>
          </w:p>
          <w:p w14:paraId="12DEF0BC" w14:textId="77777777" w:rsidR="007F0F5E" w:rsidRDefault="007F0F5E" w:rsidP="00F81995">
            <w:pPr>
              <w:spacing w:line="276" w:lineRule="auto"/>
              <w:ind w:right="-11"/>
              <w:rPr>
                <w:rFonts w:ascii="Arial" w:eastAsia="Arial" w:hAnsi="Arial" w:cs="Arial"/>
                <w:i/>
                <w:sz w:val="18"/>
                <w:szCs w:val="20"/>
                <w:lang w:val="en-US" w:eastAsia="en-US"/>
              </w:rPr>
            </w:pPr>
          </w:p>
          <w:p w14:paraId="0DC62462" w14:textId="77777777" w:rsidR="007F0F5E" w:rsidRDefault="007F0F5E" w:rsidP="00F81995">
            <w:pPr>
              <w:spacing w:line="276" w:lineRule="auto"/>
              <w:ind w:right="-11"/>
              <w:rPr>
                <w:rFonts w:ascii="Arial" w:eastAsia="Arial" w:hAnsi="Arial" w:cs="Arial"/>
                <w:sz w:val="10"/>
                <w:szCs w:val="10"/>
                <w:lang w:val="en-US" w:eastAsia="en-US"/>
              </w:rPr>
            </w:pPr>
          </w:p>
          <w:p w14:paraId="056E6D0A" w14:textId="77777777" w:rsidR="007F0F5E" w:rsidRDefault="007F0F5E" w:rsidP="00F81995">
            <w:pPr>
              <w:spacing w:line="276" w:lineRule="auto"/>
              <w:ind w:right="-11"/>
              <w:rPr>
                <w:rFonts w:ascii="Arial" w:eastAsia="Arial" w:hAnsi="Arial" w:cs="Arial"/>
                <w:sz w:val="10"/>
                <w:szCs w:val="10"/>
                <w:lang w:val="en-US" w:eastAsia="en-US"/>
              </w:rPr>
            </w:pPr>
          </w:p>
          <w:p w14:paraId="7859DD44" w14:textId="77777777" w:rsidR="007F0F5E" w:rsidRDefault="007F0F5E" w:rsidP="00F81995">
            <w:pPr>
              <w:spacing w:line="276" w:lineRule="auto"/>
              <w:ind w:right="-11"/>
              <w:rPr>
                <w:rFonts w:ascii="Arial" w:eastAsia="Arial" w:hAnsi="Arial" w:cs="Arial"/>
                <w:sz w:val="10"/>
                <w:szCs w:val="10"/>
                <w:lang w:val="en-US" w:eastAsia="en-US"/>
              </w:rPr>
            </w:pPr>
          </w:p>
          <w:p w14:paraId="2A8A623B" w14:textId="77777777" w:rsidR="007F0F5E" w:rsidRDefault="007F0F5E" w:rsidP="00F81995">
            <w:pPr>
              <w:spacing w:line="276" w:lineRule="auto"/>
              <w:ind w:right="-11"/>
              <w:rPr>
                <w:rFonts w:ascii="Arial" w:eastAsia="Arial" w:hAnsi="Arial" w:cs="Arial"/>
                <w:sz w:val="10"/>
                <w:szCs w:val="10"/>
                <w:lang w:val="en-US" w:eastAsia="en-US"/>
              </w:rPr>
            </w:pPr>
          </w:p>
          <w:p w14:paraId="19E733E6" w14:textId="77777777" w:rsidR="007F0F5E" w:rsidRDefault="007F0F5E" w:rsidP="00F81995">
            <w:pPr>
              <w:spacing w:line="276" w:lineRule="auto"/>
              <w:ind w:right="-11"/>
              <w:rPr>
                <w:rFonts w:ascii="Arial" w:eastAsia="Arial" w:hAnsi="Arial" w:cs="Arial"/>
                <w:sz w:val="10"/>
                <w:szCs w:val="10"/>
                <w:lang w:val="en-US" w:eastAsia="en-US"/>
              </w:rPr>
            </w:pPr>
          </w:p>
          <w:p w14:paraId="55BEB673" w14:textId="77777777" w:rsidR="007F0F5E" w:rsidRDefault="007F0F5E" w:rsidP="00F8199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340" w:type="dxa"/>
            <w:gridSpan w:val="2"/>
          </w:tcPr>
          <w:p w14:paraId="106A46F3" w14:textId="77777777" w:rsidR="007F0F5E" w:rsidRDefault="007F0F5E" w:rsidP="00F81995">
            <w:pPr>
              <w:spacing w:line="276" w:lineRule="auto"/>
              <w:ind w:right="-11"/>
              <w:jc w:val="center"/>
              <w:rPr>
                <w:rFonts w:ascii="Arial" w:eastAsia="Arial" w:hAnsi="Arial" w:cs="Arial"/>
                <w:sz w:val="10"/>
                <w:szCs w:val="10"/>
                <w:lang w:val="en-US" w:eastAsia="en-US"/>
              </w:rPr>
            </w:pPr>
          </w:p>
          <w:p w14:paraId="5830A4B4" w14:textId="77777777" w:rsidR="007F0F5E" w:rsidRDefault="007F0F5E" w:rsidP="00F81995">
            <w:pPr>
              <w:spacing w:line="276" w:lineRule="auto"/>
              <w:ind w:right="-11"/>
              <w:rPr>
                <w:rFonts w:ascii="Arial" w:eastAsia="Arial" w:hAnsi="Arial" w:cs="Arial"/>
                <w:sz w:val="20"/>
                <w:szCs w:val="18"/>
                <w:lang w:val="en-US" w:eastAsia="en-US"/>
              </w:rPr>
            </w:pPr>
          </w:p>
          <w:p w14:paraId="5D2B71B8" w14:textId="77777777" w:rsidR="007F0F5E" w:rsidRDefault="007F0F5E" w:rsidP="00F81995">
            <w:pPr>
              <w:spacing w:line="276" w:lineRule="auto"/>
              <w:ind w:right="-11"/>
              <w:rPr>
                <w:rFonts w:ascii="Arial" w:eastAsia="Arial" w:hAnsi="Arial" w:cs="Arial"/>
                <w:sz w:val="20"/>
                <w:szCs w:val="18"/>
                <w:lang w:val="en-US" w:eastAsia="en-US"/>
              </w:rPr>
            </w:pPr>
          </w:p>
          <w:p w14:paraId="66B681FF" w14:textId="77777777" w:rsidR="007F0F5E" w:rsidRDefault="007F0F5E" w:rsidP="00F81995">
            <w:pPr>
              <w:spacing w:line="276" w:lineRule="auto"/>
              <w:ind w:right="-11"/>
              <w:jc w:val="center"/>
              <w:rPr>
                <w:rFonts w:ascii="Arial" w:eastAsia="Arial" w:hAnsi="Arial" w:cs="Arial"/>
                <w:sz w:val="18"/>
                <w:szCs w:val="18"/>
                <w:lang w:val="en-US" w:eastAsia="en-US"/>
              </w:rPr>
            </w:pPr>
          </w:p>
          <w:p w14:paraId="02A611E5" w14:textId="77777777" w:rsidR="007F0F5E" w:rsidRDefault="007F0F5E" w:rsidP="00F81995">
            <w:pPr>
              <w:spacing w:line="276" w:lineRule="auto"/>
              <w:ind w:right="-11"/>
              <w:jc w:val="center"/>
              <w:rPr>
                <w:rFonts w:ascii="Arial" w:eastAsia="Arial" w:hAnsi="Arial" w:cs="Arial"/>
                <w:sz w:val="20"/>
                <w:szCs w:val="20"/>
                <w:lang w:val="en-US" w:eastAsia="en-US"/>
              </w:rPr>
            </w:pPr>
          </w:p>
          <w:p w14:paraId="38093424" w14:textId="77777777" w:rsidR="007F0F5E" w:rsidRDefault="007F0F5E" w:rsidP="00F81995">
            <w:pPr>
              <w:spacing w:line="276" w:lineRule="auto"/>
              <w:ind w:right="-11"/>
              <w:jc w:val="center"/>
              <w:rPr>
                <w:rFonts w:ascii="Arial" w:eastAsia="Arial" w:hAnsi="Arial" w:cs="Arial"/>
                <w:sz w:val="20"/>
                <w:szCs w:val="20"/>
                <w:lang w:val="en-US" w:eastAsia="en-US"/>
              </w:rPr>
            </w:pPr>
          </w:p>
          <w:p w14:paraId="54221A87" w14:textId="77777777" w:rsidR="007F0F5E" w:rsidRDefault="007F0F5E" w:rsidP="00F81995">
            <w:pPr>
              <w:spacing w:line="276" w:lineRule="auto"/>
              <w:ind w:right="-11"/>
              <w:jc w:val="center"/>
              <w:rPr>
                <w:rFonts w:ascii="Arial" w:eastAsia="Arial" w:hAnsi="Arial" w:cs="Arial"/>
                <w:sz w:val="20"/>
                <w:szCs w:val="20"/>
                <w:lang w:val="en-US" w:eastAsia="en-US"/>
              </w:rPr>
            </w:pPr>
          </w:p>
          <w:p w14:paraId="3B608888" w14:textId="77777777" w:rsidR="007F0F5E" w:rsidRDefault="007F0F5E" w:rsidP="00F8199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7F0F5E" w14:paraId="2DE0B70E" w14:textId="77777777" w:rsidTr="00F81995">
        <w:tc>
          <w:tcPr>
            <w:tcW w:w="4628" w:type="dxa"/>
          </w:tcPr>
          <w:p w14:paraId="3EDE67EA" w14:textId="77777777" w:rsidR="007F0F5E" w:rsidRDefault="007F0F5E" w:rsidP="00F81995">
            <w:pPr>
              <w:spacing w:line="276" w:lineRule="auto"/>
              <w:rPr>
                <w:rFonts w:ascii="Arial" w:eastAsia="Arial" w:hAnsi="Arial" w:cs="Arial"/>
                <w:sz w:val="20"/>
                <w:szCs w:val="20"/>
                <w:lang w:val="en-US" w:eastAsia="en-US"/>
              </w:rPr>
            </w:pPr>
            <w:r>
              <w:rPr>
                <w:rFonts w:ascii="Arial" w:eastAsia="Arial" w:hAnsi="Arial" w:cs="Arial"/>
                <w:sz w:val="20"/>
                <w:szCs w:val="20"/>
                <w:lang w:val="es-MX" w:eastAsia="en-US"/>
              </w:rPr>
              <w:t xml:space="preserve">       MTRA. </w:t>
            </w:r>
            <w:r>
              <w:rPr>
                <w:rFonts w:ascii="Arial" w:eastAsia="Calibri" w:hAnsi="Arial" w:cs="Arial"/>
                <w:sz w:val="22"/>
                <w:szCs w:val="22"/>
                <w:lang w:val="es-MX" w:eastAsia="en-US"/>
              </w:rPr>
              <w:t>MARTHA ELBA IZA HUERTA</w:t>
            </w:r>
          </w:p>
          <w:p w14:paraId="75455279" w14:textId="77777777" w:rsidR="007F0F5E" w:rsidRDefault="007F0F5E" w:rsidP="00F81995">
            <w:pPr>
              <w:spacing w:line="276" w:lineRule="auto"/>
              <w:rPr>
                <w:rFonts w:ascii="Arial" w:eastAsia="Arial" w:hAnsi="Arial" w:cs="Arial"/>
                <w:sz w:val="20"/>
                <w:szCs w:val="20"/>
                <w:lang w:val="en-US" w:eastAsia="en-US"/>
              </w:rPr>
            </w:pPr>
          </w:p>
          <w:p w14:paraId="7F79E8C9" w14:textId="77777777" w:rsidR="007F0F5E" w:rsidRDefault="007F0F5E" w:rsidP="00F81995">
            <w:pPr>
              <w:spacing w:line="276" w:lineRule="auto"/>
              <w:rPr>
                <w:rFonts w:ascii="Arial" w:eastAsia="Arial" w:hAnsi="Arial" w:cs="Arial"/>
                <w:sz w:val="16"/>
                <w:szCs w:val="16"/>
                <w:lang w:val="en-US" w:eastAsia="en-US"/>
              </w:rPr>
            </w:pPr>
          </w:p>
          <w:p w14:paraId="02E4588A" w14:textId="77777777" w:rsidR="007F0F5E" w:rsidRDefault="007F0F5E" w:rsidP="00F81995">
            <w:pPr>
              <w:spacing w:line="276" w:lineRule="auto"/>
              <w:rPr>
                <w:rFonts w:ascii="Arial" w:eastAsia="Arial" w:hAnsi="Arial" w:cs="Arial"/>
                <w:sz w:val="16"/>
                <w:szCs w:val="16"/>
                <w:lang w:val="en-US" w:eastAsia="en-US"/>
              </w:rPr>
            </w:pPr>
          </w:p>
          <w:p w14:paraId="0D2560CE" w14:textId="77777777" w:rsidR="007F0F5E" w:rsidRDefault="007F0F5E" w:rsidP="00F81995">
            <w:pPr>
              <w:spacing w:line="276" w:lineRule="auto"/>
              <w:rPr>
                <w:rFonts w:ascii="Arial" w:eastAsia="Arial" w:hAnsi="Arial" w:cs="Arial"/>
                <w:sz w:val="16"/>
                <w:szCs w:val="16"/>
                <w:lang w:val="en-US" w:eastAsia="en-US"/>
              </w:rPr>
            </w:pPr>
          </w:p>
          <w:p w14:paraId="6DFF7AEE" w14:textId="77777777" w:rsidR="007F0F5E" w:rsidRDefault="007F0F5E" w:rsidP="00F81995">
            <w:pPr>
              <w:spacing w:line="276" w:lineRule="auto"/>
              <w:rPr>
                <w:rFonts w:ascii="Arial" w:eastAsia="Arial" w:hAnsi="Arial" w:cs="Arial"/>
                <w:sz w:val="16"/>
                <w:szCs w:val="16"/>
                <w:lang w:val="en-US" w:eastAsia="en-US"/>
              </w:rPr>
            </w:pPr>
          </w:p>
          <w:p w14:paraId="7D1BE0DA" w14:textId="77777777" w:rsidR="007F0F5E" w:rsidRDefault="007F0F5E" w:rsidP="00F81995">
            <w:pPr>
              <w:spacing w:line="276" w:lineRule="auto"/>
              <w:rPr>
                <w:rFonts w:ascii="Arial" w:eastAsia="Arial" w:hAnsi="Arial" w:cs="Arial"/>
                <w:sz w:val="16"/>
                <w:szCs w:val="16"/>
                <w:lang w:val="en-US" w:eastAsia="en-US"/>
              </w:rPr>
            </w:pPr>
          </w:p>
          <w:p w14:paraId="318E0B8C" w14:textId="77777777" w:rsidR="007F0F5E" w:rsidRDefault="007F0F5E" w:rsidP="00F81995">
            <w:pPr>
              <w:spacing w:line="276" w:lineRule="auto"/>
              <w:rPr>
                <w:rFonts w:ascii="Arial" w:eastAsia="Arial" w:hAnsi="Arial" w:cs="Arial"/>
                <w:sz w:val="16"/>
                <w:szCs w:val="16"/>
                <w:lang w:val="en-US" w:eastAsia="en-US"/>
              </w:rPr>
            </w:pPr>
          </w:p>
          <w:p w14:paraId="315DD98B" w14:textId="77777777" w:rsidR="007F0F5E" w:rsidRDefault="007F0F5E" w:rsidP="00F81995">
            <w:pPr>
              <w:spacing w:line="276" w:lineRule="auto"/>
              <w:rPr>
                <w:rFonts w:ascii="Arial" w:eastAsia="Arial" w:hAnsi="Arial" w:cs="Arial"/>
                <w:sz w:val="16"/>
                <w:szCs w:val="16"/>
                <w:lang w:val="en-US" w:eastAsia="en-US"/>
              </w:rPr>
            </w:pPr>
          </w:p>
          <w:p w14:paraId="786F819C" w14:textId="77777777" w:rsidR="007F0F5E" w:rsidRDefault="007F0F5E" w:rsidP="00F81995">
            <w:pPr>
              <w:spacing w:line="276" w:lineRule="auto"/>
              <w:rPr>
                <w:rFonts w:ascii="Arial" w:eastAsia="Arial" w:hAnsi="Arial" w:cs="Arial"/>
                <w:sz w:val="16"/>
                <w:szCs w:val="16"/>
                <w:lang w:val="en-US" w:eastAsia="en-US"/>
              </w:rPr>
            </w:pPr>
          </w:p>
          <w:p w14:paraId="68CC2EE3" w14:textId="77777777" w:rsidR="007F0F5E" w:rsidRDefault="007F0F5E" w:rsidP="00F81995">
            <w:pPr>
              <w:spacing w:line="276" w:lineRule="auto"/>
              <w:rPr>
                <w:rFonts w:ascii="Arial" w:eastAsia="Arial" w:hAnsi="Arial" w:cs="Arial"/>
                <w:sz w:val="20"/>
                <w:szCs w:val="20"/>
                <w:lang w:val="en-US" w:eastAsia="en-US"/>
              </w:rPr>
            </w:pPr>
          </w:p>
        </w:tc>
        <w:tc>
          <w:tcPr>
            <w:tcW w:w="4340" w:type="dxa"/>
            <w:gridSpan w:val="2"/>
          </w:tcPr>
          <w:p w14:paraId="7C2FA5FC" w14:textId="77777777" w:rsidR="007F0F5E" w:rsidRDefault="007F0F5E" w:rsidP="00F81995">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14:paraId="4AFFA77D" w14:textId="77777777" w:rsidR="007F0F5E" w:rsidRDefault="007F0F5E" w:rsidP="00F81995">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MARTÍNEZ FUENTES</w:t>
            </w:r>
          </w:p>
          <w:p w14:paraId="4CC93276" w14:textId="77777777" w:rsidR="007F0F5E" w:rsidRDefault="007F0F5E" w:rsidP="00F81995">
            <w:pPr>
              <w:spacing w:line="276" w:lineRule="auto"/>
              <w:ind w:right="-11"/>
              <w:jc w:val="center"/>
              <w:rPr>
                <w:rFonts w:ascii="Arial" w:eastAsia="Arial" w:hAnsi="Arial" w:cs="Arial"/>
                <w:sz w:val="20"/>
                <w:szCs w:val="20"/>
                <w:lang w:val="es-MX" w:eastAsia="en-US"/>
              </w:rPr>
            </w:pPr>
          </w:p>
          <w:p w14:paraId="5DA1C0B7" w14:textId="77777777" w:rsidR="007F0F5E" w:rsidRDefault="007F0F5E" w:rsidP="00F81995">
            <w:pPr>
              <w:spacing w:line="276" w:lineRule="auto"/>
              <w:ind w:right="-11"/>
              <w:jc w:val="center"/>
              <w:rPr>
                <w:rFonts w:ascii="Arial" w:eastAsia="Arial" w:hAnsi="Arial" w:cs="Arial"/>
                <w:sz w:val="20"/>
                <w:szCs w:val="20"/>
                <w:lang w:val="es-MX" w:eastAsia="en-US"/>
              </w:rPr>
            </w:pPr>
          </w:p>
          <w:p w14:paraId="216B233E" w14:textId="77777777" w:rsidR="007F0F5E" w:rsidRDefault="007F0F5E" w:rsidP="00F81995">
            <w:pPr>
              <w:spacing w:line="276" w:lineRule="auto"/>
              <w:ind w:right="-11"/>
              <w:rPr>
                <w:rFonts w:ascii="Arial" w:eastAsia="Arial" w:hAnsi="Arial" w:cs="Arial"/>
                <w:sz w:val="20"/>
                <w:szCs w:val="20"/>
                <w:lang w:val="es-MX" w:eastAsia="en-US"/>
              </w:rPr>
            </w:pPr>
          </w:p>
          <w:p w14:paraId="2633D78B" w14:textId="77777777" w:rsidR="007F0F5E" w:rsidRDefault="007F0F5E" w:rsidP="00F81995">
            <w:pPr>
              <w:spacing w:line="276" w:lineRule="auto"/>
              <w:ind w:right="-11"/>
              <w:rPr>
                <w:rFonts w:ascii="Arial" w:eastAsia="Arial" w:hAnsi="Arial" w:cs="Arial"/>
                <w:sz w:val="20"/>
                <w:szCs w:val="20"/>
                <w:lang w:val="es-MX" w:eastAsia="en-US"/>
              </w:rPr>
            </w:pPr>
          </w:p>
        </w:tc>
      </w:tr>
      <w:tr w:rsidR="007F0F5E" w14:paraId="2E01E8CE" w14:textId="77777777" w:rsidTr="00F81995">
        <w:tc>
          <w:tcPr>
            <w:tcW w:w="4628" w:type="dxa"/>
            <w:hideMark/>
          </w:tcPr>
          <w:p w14:paraId="20DB5979" w14:textId="77777777" w:rsidR="007F0F5E" w:rsidRDefault="007F0F5E" w:rsidP="00F8199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40" w:type="dxa"/>
            <w:gridSpan w:val="2"/>
            <w:hideMark/>
          </w:tcPr>
          <w:p w14:paraId="1A043214" w14:textId="77777777" w:rsidR="007F0F5E" w:rsidRDefault="007F0F5E" w:rsidP="00F8199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7F0F5E" w14:paraId="61916A39" w14:textId="77777777" w:rsidTr="00F81995">
        <w:trPr>
          <w:trHeight w:val="435"/>
        </w:trPr>
        <w:tc>
          <w:tcPr>
            <w:tcW w:w="4628" w:type="dxa"/>
            <w:hideMark/>
          </w:tcPr>
          <w:p w14:paraId="1A4D01E0" w14:textId="77777777" w:rsidR="007F0F5E" w:rsidRDefault="007F0F5E" w:rsidP="00F81995">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LICDA. ROSA ELIZABETH </w:t>
            </w:r>
          </w:p>
          <w:p w14:paraId="174DBC74" w14:textId="77777777" w:rsidR="007F0F5E" w:rsidRDefault="007F0F5E" w:rsidP="00F81995">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CARRILLO RUIZ</w:t>
            </w:r>
          </w:p>
        </w:tc>
        <w:tc>
          <w:tcPr>
            <w:tcW w:w="4340" w:type="dxa"/>
            <w:gridSpan w:val="2"/>
            <w:hideMark/>
          </w:tcPr>
          <w:p w14:paraId="1C436BF5" w14:textId="77777777" w:rsidR="007F0F5E" w:rsidRDefault="007F0F5E" w:rsidP="00F81995">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LIC. JUAN RAMÍREZ RAMOS</w:t>
            </w:r>
          </w:p>
        </w:tc>
      </w:tr>
      <w:tr w:rsidR="007F0F5E" w14:paraId="720B113A" w14:textId="77777777" w:rsidTr="00F81995">
        <w:trPr>
          <w:gridAfter w:val="1"/>
          <w:wAfter w:w="39" w:type="dxa"/>
          <w:trHeight w:val="80"/>
        </w:trPr>
        <w:tc>
          <w:tcPr>
            <w:tcW w:w="8929" w:type="dxa"/>
            <w:gridSpan w:val="2"/>
          </w:tcPr>
          <w:p w14:paraId="22A4ECD8" w14:textId="77777777" w:rsidR="007F0F5E" w:rsidRDefault="007F0F5E" w:rsidP="00F81995">
            <w:pPr>
              <w:spacing w:line="276" w:lineRule="auto"/>
              <w:rPr>
                <w:sz w:val="14"/>
              </w:rPr>
            </w:pPr>
          </w:p>
          <w:tbl>
            <w:tblPr>
              <w:tblW w:w="8718" w:type="dxa"/>
              <w:tblInd w:w="104" w:type="dxa"/>
              <w:tblLook w:val="04A0" w:firstRow="1" w:lastRow="0" w:firstColumn="1" w:lastColumn="0" w:noHBand="0" w:noVBand="1"/>
            </w:tblPr>
            <w:tblGrid>
              <w:gridCol w:w="4395"/>
              <w:gridCol w:w="4323"/>
            </w:tblGrid>
            <w:tr w:rsidR="007F0F5E" w14:paraId="52FF8B73" w14:textId="77777777" w:rsidTr="00F81995">
              <w:tc>
                <w:tcPr>
                  <w:tcW w:w="4395" w:type="dxa"/>
                </w:tcPr>
                <w:p w14:paraId="2C1ECFAB" w14:textId="77777777" w:rsidR="007F0F5E" w:rsidRDefault="007F0F5E" w:rsidP="00F81995">
                  <w:pPr>
                    <w:spacing w:line="276" w:lineRule="auto"/>
                    <w:rPr>
                      <w:rFonts w:ascii="Arial" w:eastAsia="Arial" w:hAnsi="Arial" w:cs="Arial"/>
                      <w:sz w:val="20"/>
                      <w:szCs w:val="20"/>
                      <w:lang w:val="en-US" w:eastAsia="en-US"/>
                    </w:rPr>
                  </w:pPr>
                </w:p>
                <w:p w14:paraId="3511AB9D" w14:textId="77777777" w:rsidR="007F0F5E" w:rsidRDefault="007F0F5E" w:rsidP="00F81995">
                  <w:pPr>
                    <w:spacing w:line="276" w:lineRule="auto"/>
                    <w:rPr>
                      <w:rFonts w:ascii="Arial" w:eastAsia="Arial" w:hAnsi="Arial" w:cs="Arial"/>
                      <w:sz w:val="20"/>
                      <w:szCs w:val="20"/>
                      <w:lang w:val="en-US" w:eastAsia="en-US"/>
                    </w:rPr>
                  </w:pPr>
                </w:p>
                <w:p w14:paraId="01F16D5F" w14:textId="77777777" w:rsidR="007F0F5E" w:rsidRDefault="007F0F5E" w:rsidP="00F81995">
                  <w:pPr>
                    <w:spacing w:line="276" w:lineRule="auto"/>
                    <w:rPr>
                      <w:rFonts w:ascii="Arial" w:eastAsia="Arial" w:hAnsi="Arial" w:cs="Arial"/>
                      <w:sz w:val="20"/>
                      <w:szCs w:val="20"/>
                      <w:lang w:val="en-US" w:eastAsia="en-US"/>
                    </w:rPr>
                  </w:pPr>
                </w:p>
                <w:p w14:paraId="6B3380BA" w14:textId="12B85977" w:rsidR="007F0F5E" w:rsidRDefault="007F0F5E" w:rsidP="00F81995">
                  <w:pPr>
                    <w:spacing w:line="276" w:lineRule="auto"/>
                    <w:rPr>
                      <w:rFonts w:ascii="Arial" w:eastAsia="Arial" w:hAnsi="Arial" w:cs="Arial"/>
                      <w:sz w:val="20"/>
                      <w:szCs w:val="20"/>
                      <w:lang w:val="en-US" w:eastAsia="en-US"/>
                    </w:rPr>
                  </w:pPr>
                </w:p>
                <w:p w14:paraId="454CF0F6" w14:textId="77777777" w:rsidR="007F0F5E" w:rsidRDefault="007F0F5E" w:rsidP="00F81995">
                  <w:pPr>
                    <w:spacing w:line="276" w:lineRule="auto"/>
                    <w:rPr>
                      <w:rFonts w:ascii="Arial" w:eastAsia="Arial" w:hAnsi="Arial" w:cs="Arial"/>
                      <w:sz w:val="20"/>
                      <w:szCs w:val="20"/>
                      <w:lang w:val="en-US" w:eastAsia="en-US"/>
                    </w:rPr>
                  </w:pPr>
                </w:p>
                <w:p w14:paraId="31DE45EC" w14:textId="77777777" w:rsidR="007F0F5E" w:rsidRDefault="007F0F5E" w:rsidP="00F81995">
                  <w:pPr>
                    <w:spacing w:line="276" w:lineRule="auto"/>
                    <w:rPr>
                      <w:rFonts w:ascii="Arial" w:eastAsia="Arial" w:hAnsi="Arial" w:cs="Arial"/>
                      <w:sz w:val="20"/>
                      <w:szCs w:val="20"/>
                      <w:lang w:val="en-US" w:eastAsia="en-US"/>
                    </w:rPr>
                  </w:pPr>
                </w:p>
                <w:p w14:paraId="372D4D5F" w14:textId="77777777" w:rsidR="007F0F5E" w:rsidRDefault="007F0F5E" w:rsidP="00F81995">
                  <w:pPr>
                    <w:spacing w:line="276" w:lineRule="auto"/>
                    <w:jc w:val="center"/>
                    <w:rPr>
                      <w:rFonts w:ascii="Arial" w:eastAsia="Arial" w:hAnsi="Arial" w:cs="Arial"/>
                      <w:sz w:val="20"/>
                      <w:szCs w:val="20"/>
                      <w:lang w:val="en-US" w:eastAsia="en-US"/>
                    </w:rPr>
                  </w:pPr>
                </w:p>
              </w:tc>
              <w:tc>
                <w:tcPr>
                  <w:tcW w:w="4323" w:type="dxa"/>
                </w:tcPr>
                <w:p w14:paraId="5FFDF8CC" w14:textId="77777777" w:rsidR="007F0F5E" w:rsidRDefault="007F0F5E" w:rsidP="00F81995">
                  <w:pPr>
                    <w:spacing w:line="276" w:lineRule="auto"/>
                    <w:ind w:right="-11"/>
                    <w:jc w:val="center"/>
                    <w:rPr>
                      <w:rFonts w:ascii="Arial" w:eastAsia="Arial" w:hAnsi="Arial" w:cs="Arial"/>
                      <w:sz w:val="20"/>
                      <w:szCs w:val="20"/>
                      <w:lang w:val="es-MX" w:eastAsia="en-US"/>
                    </w:rPr>
                  </w:pPr>
                </w:p>
                <w:p w14:paraId="2D3E884C" w14:textId="77777777" w:rsidR="007F0F5E" w:rsidRDefault="007F0F5E" w:rsidP="00F81995">
                  <w:pPr>
                    <w:spacing w:line="276" w:lineRule="auto"/>
                    <w:ind w:right="-11"/>
                    <w:jc w:val="center"/>
                    <w:rPr>
                      <w:rFonts w:ascii="Arial" w:eastAsia="Arial" w:hAnsi="Arial" w:cs="Arial"/>
                      <w:sz w:val="20"/>
                      <w:szCs w:val="20"/>
                      <w:lang w:val="es-MX" w:eastAsia="en-US"/>
                    </w:rPr>
                  </w:pPr>
                </w:p>
              </w:tc>
            </w:tr>
            <w:tr w:rsidR="007F0F5E" w14:paraId="77C5987C" w14:textId="77777777" w:rsidTr="00F81995">
              <w:tc>
                <w:tcPr>
                  <w:tcW w:w="4395" w:type="dxa"/>
                  <w:hideMark/>
                </w:tcPr>
                <w:p w14:paraId="30958B54" w14:textId="77777777" w:rsidR="007F0F5E" w:rsidRDefault="007F0F5E" w:rsidP="00F8199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14:paraId="740ED31B" w14:textId="77777777" w:rsidR="007F0F5E" w:rsidRDefault="007F0F5E" w:rsidP="00F81995">
                  <w:pPr>
                    <w:rPr>
                      <w:rFonts w:ascii="Arial" w:eastAsia="Arial" w:hAnsi="Arial" w:cs="Arial"/>
                      <w:sz w:val="20"/>
                      <w:szCs w:val="20"/>
                      <w:lang w:val="en-US" w:eastAsia="en-US"/>
                    </w:rPr>
                  </w:pPr>
                </w:p>
              </w:tc>
            </w:tr>
            <w:tr w:rsidR="007F0F5E" w14:paraId="64CD728F" w14:textId="77777777" w:rsidTr="00F81995">
              <w:trPr>
                <w:trHeight w:val="435"/>
              </w:trPr>
              <w:tc>
                <w:tcPr>
                  <w:tcW w:w="4395" w:type="dxa"/>
                  <w:hideMark/>
                </w:tcPr>
                <w:p w14:paraId="7277B99D" w14:textId="77777777" w:rsidR="007F0F5E" w:rsidRDefault="007F0F5E" w:rsidP="00F81995">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DRA. ANA FLORENCIA </w:t>
                  </w:r>
                </w:p>
                <w:p w14:paraId="7618C3E1" w14:textId="77777777" w:rsidR="007F0F5E" w:rsidRDefault="007F0F5E" w:rsidP="00F81995">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ROMANO SÁNCHEZ</w:t>
                  </w:r>
                </w:p>
              </w:tc>
              <w:tc>
                <w:tcPr>
                  <w:tcW w:w="4323" w:type="dxa"/>
                  <w:hideMark/>
                </w:tcPr>
                <w:p w14:paraId="2F1F74B8" w14:textId="77777777" w:rsidR="007F0F5E" w:rsidRDefault="007F0F5E" w:rsidP="00F81995">
                  <w:pPr>
                    <w:rPr>
                      <w:rFonts w:ascii="Arial" w:eastAsia="Arial" w:hAnsi="Arial" w:cs="Arial"/>
                      <w:sz w:val="20"/>
                      <w:szCs w:val="20"/>
                      <w:lang w:val="en-US" w:eastAsia="en-US"/>
                    </w:rPr>
                  </w:pPr>
                </w:p>
              </w:tc>
            </w:tr>
          </w:tbl>
          <w:p w14:paraId="38B0CF3C" w14:textId="77777777" w:rsidR="007F0F5E" w:rsidRDefault="007F0F5E" w:rsidP="00F81995">
            <w:pPr>
              <w:spacing w:line="276" w:lineRule="auto"/>
              <w:rPr>
                <w:rFonts w:ascii="Calibri" w:eastAsia="Calibri" w:hAnsi="Calibri"/>
                <w:sz w:val="18"/>
                <w:szCs w:val="18"/>
                <w:lang w:val="es-MX" w:eastAsia="es-MX"/>
              </w:rPr>
            </w:pPr>
          </w:p>
        </w:tc>
      </w:tr>
    </w:tbl>
    <w:p w14:paraId="2DA0D582" w14:textId="4379543C" w:rsidR="007F0F5E" w:rsidRDefault="007F0F5E" w:rsidP="007F0F5E">
      <w:pPr>
        <w:jc w:val="both"/>
        <w:rPr>
          <w:rFonts w:ascii="Arial" w:eastAsia="Arial" w:hAnsi="Arial" w:cs="Arial"/>
          <w:sz w:val="16"/>
          <w:szCs w:val="16"/>
          <w:lang w:val="es-MX" w:eastAsia="en-US"/>
        </w:rPr>
      </w:pPr>
    </w:p>
    <w:p w14:paraId="20A163A8" w14:textId="77777777" w:rsidR="007F0F5E" w:rsidRDefault="007F0F5E" w:rsidP="007F0F5E">
      <w:pPr>
        <w:jc w:val="both"/>
        <w:rPr>
          <w:rFonts w:ascii="Arial" w:eastAsia="Arial" w:hAnsi="Arial" w:cs="Arial"/>
          <w:sz w:val="16"/>
          <w:szCs w:val="16"/>
          <w:lang w:val="es-MX" w:eastAsia="en-US"/>
        </w:rPr>
      </w:pPr>
    </w:p>
    <w:p w14:paraId="09743F1D" w14:textId="3A381928" w:rsidR="007F0F5E" w:rsidRDefault="007F0F5E" w:rsidP="007F0F5E">
      <w:pPr>
        <w:jc w:val="both"/>
        <w:rPr>
          <w:sz w:val="6"/>
          <w:szCs w:val="6"/>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IEE/CG/A047/2021</w:t>
      </w:r>
      <w:r>
        <w:rPr>
          <w:rFonts w:ascii="Arial" w:eastAsia="Arial" w:hAnsi="Arial" w:cs="Arial"/>
          <w:sz w:val="16"/>
          <w:szCs w:val="16"/>
          <w:lang w:val="es-MX" w:eastAsia="en-US"/>
        </w:rPr>
        <w:t xml:space="preserve"> del Proceso Electoral Local 2020-2021, aprobado en la Novena Sesión Ordinaria del Consejo General del Instituto Electoral del Estado de Colima, celebrada el día 15 (quince) de febrero del año 2021 (dos mil veintiuno). ------------------------------------------------------------------------------------------------------------------------------</w:t>
      </w:r>
    </w:p>
    <w:p w14:paraId="0BF6503F" w14:textId="7313292C" w:rsidR="00FF055C" w:rsidRPr="007F0F5E" w:rsidRDefault="00FF055C">
      <w:pPr>
        <w:rPr>
          <w:sz w:val="2"/>
          <w:szCs w:val="2"/>
        </w:rPr>
      </w:pPr>
    </w:p>
    <w:sectPr w:rsidR="00FF055C" w:rsidRPr="007F0F5E" w:rsidSect="00E25681">
      <w:headerReference w:type="default" r:id="rId13"/>
      <w:footerReference w:type="default" r:id="rId14"/>
      <w:pgSz w:w="12240" w:h="15840"/>
      <w:pgMar w:top="1985" w:right="1467" w:bottom="1560" w:left="1701" w:header="564"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3078D" w14:textId="77777777" w:rsidR="004C3933" w:rsidRDefault="004C3933" w:rsidP="00B4250A">
      <w:r>
        <w:separator/>
      </w:r>
    </w:p>
  </w:endnote>
  <w:endnote w:type="continuationSeparator" w:id="0">
    <w:p w14:paraId="1518163A" w14:textId="77777777" w:rsidR="004C3933" w:rsidRDefault="004C3933" w:rsidP="00B4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rPr>
      <w:id w:val="857008500"/>
      <w:docPartObj>
        <w:docPartGallery w:val="Page Numbers (Bottom of Page)"/>
        <w:docPartUnique/>
      </w:docPartObj>
    </w:sdtPr>
    <w:sdtEndPr>
      <w:rPr>
        <w:rFonts w:ascii="Times New Roman" w:eastAsia="Times New Roman" w:hAnsi="Times New Roman"/>
      </w:rPr>
    </w:sdtEndPr>
    <w:sdtContent>
      <w:p w14:paraId="5DCE8497" w14:textId="78961144" w:rsidR="007F0F5E" w:rsidRDefault="007F0F5E" w:rsidP="00E25681">
        <w:pPr>
          <w:jc w:val="center"/>
          <w:rPr>
            <w:rFonts w:ascii="Calibri" w:hAnsi="Calibri" w:cs="Arial"/>
            <w:b/>
            <w:sz w:val="20"/>
            <w:szCs w:val="20"/>
          </w:rPr>
        </w:pP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047/2021</w:t>
        </w:r>
      </w:p>
      <w:p w14:paraId="1130AF6F" w14:textId="2C8DFA77" w:rsidR="001503DC" w:rsidRPr="00DE35A4" w:rsidRDefault="00CC0CAD" w:rsidP="00E25681">
        <w:pPr>
          <w:jc w:val="center"/>
          <w:rPr>
            <w:sz w:val="8"/>
            <w:szCs w:val="16"/>
          </w:rPr>
        </w:pPr>
        <w:r w:rsidRPr="00DE35A4">
          <w:rPr>
            <w:rFonts w:ascii="Calibri" w:hAnsi="Calibri"/>
            <w:b/>
            <w:noProof/>
            <w:sz w:val="20"/>
            <w:szCs w:val="20"/>
            <w:lang w:val="es-MX" w:eastAsia="es-MX"/>
          </w:rPr>
          <mc:AlternateContent>
            <mc:Choice Requires="wps">
              <w:drawing>
                <wp:anchor distT="0" distB="0" distL="114300" distR="114300" simplePos="0" relativeHeight="251659264" behindDoc="0" locked="0" layoutInCell="1" allowOverlap="1" wp14:anchorId="06403BA6" wp14:editId="69FB5EFC">
                  <wp:simplePos x="0" y="0"/>
                  <wp:positionH relativeFrom="column">
                    <wp:posOffset>1586865</wp:posOffset>
                  </wp:positionH>
                  <wp:positionV relativeFrom="paragraph">
                    <wp:posOffset>-201930</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ED74FF" id="_x0000_t32" coordsize="21600,21600" o:spt="32" o:oned="t" path="m,l21600,21600e" filled="f">
                  <v:path arrowok="t" fillok="f" o:connecttype="none"/>
                  <o:lock v:ext="edit" shapetype="t"/>
                </v:shapetype>
                <v:shape id="Conector recto de flecha 2" o:spid="_x0000_s1026" type="#_x0000_t32" style="position:absolute;margin-left:124.95pt;margin-top:-15.9pt;width:20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">
                  <v:stroke dashstyle="1 1" endcap="round"/>
                  <v:shadow color="#868686"/>
                </v:shape>
              </w:pict>
            </mc:Fallback>
          </mc:AlternateContent>
        </w:r>
        <w:r>
          <w:rPr>
            <w:rFonts w:ascii="Calibri" w:hAnsi="Calibri" w:cs="Arial"/>
            <w:sz w:val="18"/>
            <w:szCs w:val="20"/>
          </w:rPr>
          <w:t>Desahogo de consulta formulada por el Partido MORENA</w:t>
        </w:r>
      </w:p>
      <w:p w14:paraId="13C6EC66" w14:textId="0A9D9AEB" w:rsidR="001503DC" w:rsidRPr="001D4633" w:rsidRDefault="00CC0CAD" w:rsidP="000C48A8">
        <w:pPr>
          <w:tabs>
            <w:tab w:val="center" w:pos="4419"/>
            <w:tab w:val="center" w:pos="4536"/>
            <w:tab w:val="left" w:pos="6670"/>
            <w:tab w:val="right" w:pos="8838"/>
          </w:tabs>
          <w:rPr>
            <w:sz w:val="22"/>
          </w:rPr>
        </w:pPr>
        <w:r>
          <w:rPr>
            <w:rFonts w:ascii="Calibri" w:hAnsi="Calibri"/>
            <w:sz w:val="18"/>
            <w:szCs w:val="20"/>
          </w:rPr>
          <w:tab/>
        </w: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A17F06">
          <w:rPr>
            <w:rFonts w:ascii="Calibri" w:hAnsi="Calibri"/>
            <w:noProof/>
            <w:sz w:val="18"/>
            <w:szCs w:val="20"/>
          </w:rPr>
          <w:t>18</w:t>
        </w:r>
        <w:r w:rsidRPr="00DE35A4">
          <w:rPr>
            <w:rFonts w:ascii="Calibri" w:hAnsi="Calibri"/>
            <w:sz w:val="18"/>
            <w:szCs w:val="20"/>
          </w:rPr>
          <w:fldChar w:fldCharType="end"/>
        </w:r>
        <w:r>
          <w:rPr>
            <w:rFonts w:ascii="Calibri" w:hAnsi="Calibri"/>
            <w:sz w:val="18"/>
            <w:szCs w:val="20"/>
          </w:rPr>
          <w:t xml:space="preserve"> de 1</w:t>
        </w:r>
        <w:r w:rsidR="007F0F5E">
          <w:rPr>
            <w:rFonts w:ascii="Calibri" w:hAnsi="Calibri"/>
            <w:sz w:val="18"/>
            <w:szCs w:val="20"/>
          </w:rPr>
          <w:t>8</w:t>
        </w:r>
        <w:r>
          <w:rPr>
            <w:rFonts w:ascii="Calibri" w:hAnsi="Calibri"/>
            <w:sz w:val="18"/>
            <w:szCs w:val="20"/>
          </w:rPr>
          <w:tab/>
        </w:r>
      </w:p>
    </w:sdtContent>
  </w:sdt>
  <w:p w14:paraId="5167CBF0" w14:textId="77777777" w:rsidR="001503DC" w:rsidRPr="00142316" w:rsidRDefault="004C3933" w:rsidP="00E25681">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5D247" w14:textId="77777777" w:rsidR="004C3933" w:rsidRDefault="004C3933" w:rsidP="00B4250A">
      <w:r>
        <w:separator/>
      </w:r>
    </w:p>
  </w:footnote>
  <w:footnote w:type="continuationSeparator" w:id="0">
    <w:p w14:paraId="615B52DB" w14:textId="77777777" w:rsidR="004C3933" w:rsidRDefault="004C3933" w:rsidP="00B4250A">
      <w:r>
        <w:continuationSeparator/>
      </w:r>
    </w:p>
  </w:footnote>
  <w:footnote w:id="1">
    <w:p w14:paraId="668C0E36" w14:textId="77777777" w:rsidR="00B4250A" w:rsidRPr="000A1843" w:rsidRDefault="00B4250A" w:rsidP="00B4250A">
      <w:pPr>
        <w:pStyle w:val="Textonotapie"/>
        <w:jc w:val="both"/>
        <w:rPr>
          <w:rFonts w:ascii="Arial" w:hAnsi="Arial" w:cs="Arial"/>
          <w:b/>
          <w:i/>
          <w:sz w:val="18"/>
          <w:szCs w:val="18"/>
        </w:rPr>
      </w:pPr>
      <w:r w:rsidRPr="000A1843">
        <w:rPr>
          <w:rStyle w:val="Refdenotaalpie"/>
          <w:rFonts w:ascii="Arial" w:hAnsi="Arial" w:cs="Arial"/>
          <w:i/>
          <w:sz w:val="18"/>
          <w:szCs w:val="18"/>
        </w:rPr>
        <w:footnoteRef/>
      </w:r>
      <w:r w:rsidRPr="000A1843">
        <w:rPr>
          <w:rFonts w:ascii="Arial" w:hAnsi="Arial" w:cs="Arial"/>
          <w:i/>
          <w:sz w:val="18"/>
          <w:szCs w:val="18"/>
        </w:rPr>
        <w:t xml:space="preserve"> </w:t>
      </w:r>
      <w:r w:rsidRPr="000A1843">
        <w:rPr>
          <w:rFonts w:ascii="Arial" w:hAnsi="Arial" w:cs="Arial"/>
          <w:sz w:val="18"/>
          <w:szCs w:val="18"/>
        </w:rPr>
        <w:t xml:space="preserve">Jurisprudencia </w:t>
      </w:r>
      <w:r>
        <w:rPr>
          <w:rFonts w:ascii="Arial" w:hAnsi="Arial" w:cs="Arial"/>
          <w:sz w:val="18"/>
          <w:szCs w:val="18"/>
        </w:rPr>
        <w:t>11</w:t>
      </w:r>
      <w:r w:rsidRPr="000A1843">
        <w:rPr>
          <w:rFonts w:ascii="Arial" w:hAnsi="Arial" w:cs="Arial"/>
          <w:sz w:val="18"/>
          <w:szCs w:val="18"/>
        </w:rPr>
        <w:t>/201</w:t>
      </w:r>
      <w:r>
        <w:rPr>
          <w:rFonts w:ascii="Arial" w:hAnsi="Arial" w:cs="Arial"/>
          <w:sz w:val="18"/>
          <w:szCs w:val="18"/>
        </w:rPr>
        <w:t>8</w:t>
      </w:r>
      <w:r w:rsidR="00E65B65">
        <w:rPr>
          <w:rFonts w:ascii="Arial" w:hAnsi="Arial" w:cs="Arial"/>
          <w:sz w:val="18"/>
          <w:szCs w:val="18"/>
        </w:rPr>
        <w:t xml:space="preserve">, </w:t>
      </w:r>
      <w:r w:rsidRPr="000A1843">
        <w:rPr>
          <w:rFonts w:ascii="Arial" w:hAnsi="Arial" w:cs="Arial"/>
          <w:bCs/>
          <w:i/>
          <w:color w:val="000000"/>
          <w:sz w:val="18"/>
          <w:szCs w:val="18"/>
          <w:lang w:val="es-MX" w:eastAsia="es-MX"/>
        </w:rPr>
        <w:t>Gaceta de Jurisprudencia y Tesis en materia electoral</w:t>
      </w:r>
      <w:r w:rsidRPr="000A1843">
        <w:rPr>
          <w:rFonts w:ascii="Arial" w:hAnsi="Arial" w:cs="Arial"/>
          <w:bCs/>
          <w:color w:val="000000"/>
          <w:sz w:val="18"/>
          <w:szCs w:val="18"/>
          <w:lang w:val="es-MX" w:eastAsia="es-MX"/>
        </w:rPr>
        <w:t>, Año 1</w:t>
      </w:r>
      <w:r>
        <w:rPr>
          <w:rFonts w:ascii="Arial" w:hAnsi="Arial" w:cs="Arial"/>
          <w:bCs/>
          <w:color w:val="000000"/>
          <w:sz w:val="18"/>
          <w:szCs w:val="18"/>
          <w:lang w:val="es-MX" w:eastAsia="es-MX"/>
        </w:rPr>
        <w:t>0</w:t>
      </w:r>
      <w:r w:rsidRPr="000A1843">
        <w:rPr>
          <w:rFonts w:ascii="Arial" w:hAnsi="Arial" w:cs="Arial"/>
          <w:bCs/>
          <w:color w:val="000000"/>
          <w:sz w:val="18"/>
          <w:szCs w:val="18"/>
          <w:lang w:val="es-MX" w:eastAsia="es-MX"/>
        </w:rPr>
        <w:t>, número 2</w:t>
      </w:r>
      <w:r>
        <w:rPr>
          <w:rFonts w:ascii="Arial" w:hAnsi="Arial" w:cs="Arial"/>
          <w:bCs/>
          <w:color w:val="000000"/>
          <w:sz w:val="18"/>
          <w:szCs w:val="18"/>
          <w:lang w:val="es-MX" w:eastAsia="es-MX"/>
        </w:rPr>
        <w:t>1</w:t>
      </w:r>
      <w:r w:rsidRPr="000A1843">
        <w:rPr>
          <w:rFonts w:ascii="Arial" w:hAnsi="Arial" w:cs="Arial"/>
          <w:bCs/>
          <w:color w:val="000000"/>
          <w:sz w:val="18"/>
          <w:szCs w:val="18"/>
          <w:lang w:val="es-MX" w:eastAsia="es-MX"/>
        </w:rPr>
        <w:t>, 201</w:t>
      </w:r>
      <w:r>
        <w:rPr>
          <w:rFonts w:ascii="Arial" w:hAnsi="Arial" w:cs="Arial"/>
          <w:bCs/>
          <w:color w:val="000000"/>
          <w:sz w:val="18"/>
          <w:szCs w:val="18"/>
          <w:lang w:val="es-MX" w:eastAsia="es-MX"/>
        </w:rPr>
        <w:t>8</w:t>
      </w:r>
      <w:r w:rsidRPr="000A1843">
        <w:rPr>
          <w:rFonts w:ascii="Arial" w:hAnsi="Arial" w:cs="Arial"/>
          <w:bCs/>
          <w:color w:val="000000"/>
          <w:sz w:val="18"/>
          <w:szCs w:val="18"/>
          <w:lang w:val="es-MX" w:eastAsia="es-MX"/>
        </w:rPr>
        <w:t xml:space="preserve">, pp. </w:t>
      </w:r>
      <w:r>
        <w:rPr>
          <w:rFonts w:ascii="Arial" w:hAnsi="Arial" w:cs="Arial"/>
          <w:bCs/>
          <w:color w:val="000000"/>
          <w:sz w:val="18"/>
          <w:szCs w:val="18"/>
          <w:lang w:val="es-MX" w:eastAsia="es-MX"/>
        </w:rPr>
        <w:t>26</w:t>
      </w:r>
      <w:r w:rsidRPr="000A1843">
        <w:rPr>
          <w:rFonts w:ascii="Arial" w:hAnsi="Arial" w:cs="Arial"/>
          <w:bCs/>
          <w:color w:val="000000"/>
          <w:sz w:val="18"/>
          <w:szCs w:val="18"/>
          <w:lang w:val="es-MX" w:eastAsia="es-MX"/>
        </w:rPr>
        <w:t xml:space="preserve"> y </w:t>
      </w:r>
      <w:r>
        <w:rPr>
          <w:rFonts w:ascii="Arial" w:hAnsi="Arial" w:cs="Arial"/>
          <w:bCs/>
          <w:color w:val="000000"/>
          <w:sz w:val="18"/>
          <w:szCs w:val="18"/>
          <w:lang w:val="es-MX" w:eastAsia="es-MX"/>
        </w:rPr>
        <w:t>27</w:t>
      </w:r>
      <w:r w:rsidRPr="000A1843">
        <w:rPr>
          <w:rFonts w:ascii="Arial" w:hAnsi="Arial" w:cs="Arial"/>
          <w:bCs/>
          <w:color w:val="000000"/>
          <w:sz w:val="18"/>
          <w:szCs w:val="18"/>
          <w:lang w:val="es-MX" w:eastAsia="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ADED" w14:textId="77777777" w:rsidR="001503DC" w:rsidRDefault="00CC0CAD" w:rsidP="00E25681">
    <w:pPr>
      <w:jc w:val="right"/>
      <w:rPr>
        <w:rFonts w:ascii="Arial Black" w:hAnsi="Arial Black" w:cs="Arial"/>
        <w:szCs w:val="22"/>
      </w:rPr>
    </w:pPr>
    <w:r w:rsidRPr="001D4633">
      <w:rPr>
        <w:rFonts w:ascii="Arial" w:eastAsia="Calibri" w:hAnsi="Arial" w:cs="Arial"/>
        <w:b/>
        <w:noProof/>
        <w:sz w:val="22"/>
        <w:szCs w:val="22"/>
        <w:lang w:val="es-MX" w:eastAsia="es-MX"/>
      </w:rPr>
      <w:drawing>
        <wp:anchor distT="0" distB="0" distL="114300" distR="114300" simplePos="0" relativeHeight="251661312" behindDoc="1" locked="0" layoutInCell="1" allowOverlap="1" wp14:anchorId="43AB3AC6" wp14:editId="1AFA924D">
          <wp:simplePos x="0" y="0"/>
          <wp:positionH relativeFrom="column">
            <wp:posOffset>-50165</wp:posOffset>
          </wp:positionH>
          <wp:positionV relativeFrom="paragraph">
            <wp:posOffset>-155575</wp:posOffset>
          </wp:positionV>
          <wp:extent cx="1086485" cy="984250"/>
          <wp:effectExtent l="0" t="0" r="0" b="6350"/>
          <wp:wrapTight wrapText="bothSides">
            <wp:wrapPolygon edited="0">
              <wp:start x="0" y="0"/>
              <wp:lineTo x="0" y="21321"/>
              <wp:lineTo x="21209" y="21321"/>
              <wp:lineTo x="21209"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1AF01FB6" w14:textId="77777777" w:rsidR="001503DC" w:rsidRPr="00640C8A" w:rsidRDefault="00CC0CAD" w:rsidP="00E25681">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08FD4EF4" w14:textId="77777777" w:rsidR="001503DC" w:rsidRDefault="00CC0CAD" w:rsidP="00E25681">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0288" behindDoc="0" locked="0" layoutInCell="1" allowOverlap="1" wp14:anchorId="19CB5BAF" wp14:editId="2988F588">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C0A8C8"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w:t>
    </w:r>
    <w:r>
      <w:rPr>
        <w:rFonts w:ascii="Calibri" w:hAnsi="Calibri" w:cs="Arial"/>
        <w:b/>
        <w:szCs w:val="22"/>
      </w:rPr>
      <w:t xml:space="preserve">ROCESO ELECTORAL LOCAL </w:t>
    </w:r>
    <w:r w:rsidRPr="003D60F5">
      <w:rPr>
        <w:rFonts w:ascii="Calibri" w:hAnsi="Calibri" w:cs="Arial"/>
        <w:b/>
        <w:szCs w:val="22"/>
      </w:rPr>
      <w:t>20</w:t>
    </w:r>
    <w:r>
      <w:rPr>
        <w:rFonts w:ascii="Calibri" w:hAnsi="Calibri" w:cs="Arial"/>
        <w:b/>
        <w:szCs w:val="22"/>
      </w:rPr>
      <w:t>20</w:t>
    </w:r>
    <w:r w:rsidRPr="003D60F5">
      <w:rPr>
        <w:rFonts w:ascii="Calibri" w:hAnsi="Calibri" w:cs="Arial"/>
        <w:b/>
        <w:szCs w:val="22"/>
      </w:rPr>
      <w:t>-20</w:t>
    </w:r>
    <w:r>
      <w:rPr>
        <w:rFonts w:ascii="Calibri" w:hAnsi="Calibri" w:cs="Arial"/>
        <w:b/>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4755"/>
    <w:multiLevelType w:val="hybridMultilevel"/>
    <w:tmpl w:val="3AE84C5C"/>
    <w:lvl w:ilvl="0" w:tplc="AB44017C">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A142B44"/>
    <w:multiLevelType w:val="hybridMultilevel"/>
    <w:tmpl w:val="4B6028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431A9D"/>
    <w:multiLevelType w:val="hybridMultilevel"/>
    <w:tmpl w:val="31B2F26E"/>
    <w:lvl w:ilvl="0" w:tplc="C554C09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D840B00"/>
    <w:multiLevelType w:val="hybridMultilevel"/>
    <w:tmpl w:val="0BEEFE9E"/>
    <w:lvl w:ilvl="0" w:tplc="A3880AD4">
      <w:start w:val="1"/>
      <w:numFmt w:val="upperRoman"/>
      <w:lvlText w:val="%1."/>
      <w:lvlJc w:val="left"/>
      <w:pPr>
        <w:ind w:left="5039" w:hanging="360"/>
      </w:pPr>
      <w:rPr>
        <w:rFonts w:hint="default"/>
        <w:b/>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52247EE7"/>
    <w:multiLevelType w:val="hybridMultilevel"/>
    <w:tmpl w:val="DE0AC2C6"/>
    <w:lvl w:ilvl="0" w:tplc="080A000F">
      <w:start w:val="8"/>
      <w:numFmt w:val="decimal"/>
      <w:lvlText w:val="%1."/>
      <w:lvlJc w:val="left"/>
      <w:pPr>
        <w:ind w:left="720" w:hanging="360"/>
      </w:pPr>
      <w:rPr>
        <w:rFonts w:eastAsia="Times New Roman"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590FF0"/>
    <w:multiLevelType w:val="hybridMultilevel"/>
    <w:tmpl w:val="1D9A2310"/>
    <w:lvl w:ilvl="0" w:tplc="C53AD97C">
      <w:start w:val="4"/>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6CD74CEF"/>
    <w:multiLevelType w:val="hybridMultilevel"/>
    <w:tmpl w:val="08C26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0A"/>
    <w:rsid w:val="00043732"/>
    <w:rsid w:val="00063566"/>
    <w:rsid w:val="004B1D35"/>
    <w:rsid w:val="004C3933"/>
    <w:rsid w:val="007F0F5E"/>
    <w:rsid w:val="00A17F06"/>
    <w:rsid w:val="00B16B23"/>
    <w:rsid w:val="00B4250A"/>
    <w:rsid w:val="00B62868"/>
    <w:rsid w:val="00B815A5"/>
    <w:rsid w:val="00BB440E"/>
    <w:rsid w:val="00CC0CAD"/>
    <w:rsid w:val="00E65B65"/>
    <w:rsid w:val="00F2406F"/>
    <w:rsid w:val="00F86C54"/>
    <w:rsid w:val="00FF0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1E815"/>
  <w15:chartTrackingRefBased/>
  <w15:docId w15:val="{491EA42E-CC1A-43B4-A888-92FB0C19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sid w:val="00B4250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4250A"/>
    <w:pPr>
      <w:tabs>
        <w:tab w:val="center" w:pos="4419"/>
        <w:tab w:val="right" w:pos="8838"/>
      </w:tabs>
    </w:pPr>
  </w:style>
  <w:style w:type="character" w:customStyle="1" w:styleId="PiedepginaCar1">
    <w:name w:val="Pie de página Car1"/>
    <w:basedOn w:val="Fuentedeprrafopredeter"/>
    <w:uiPriority w:val="99"/>
    <w:semiHidden/>
    <w:rsid w:val="00B4250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B4250A"/>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Título 2&quot; Car,Dot pt Car,No Spacing1 Car"/>
    <w:link w:val="Prrafodelista"/>
    <w:uiPriority w:val="34"/>
    <w:qFormat/>
    <w:rsid w:val="00B4250A"/>
    <w:rPr>
      <w:rFonts w:ascii="Calibri" w:eastAsia="Times New Roman" w:hAnsi="Calibri" w:cs="Times New Roman"/>
    </w:rPr>
  </w:style>
  <w:style w:type="paragraph" w:styleId="Prrafodelista">
    <w:name w:val="List Paragraph"/>
    <w:aliases w:val="CNBV Parrafo1,Párrafo de lista1,AB List 1,Bullet Points,Bullet List,FooterText,numbered,Paragraphe de liste1,List Paragraph1,Bulletr List Paragraph,Título 2&quot;,Dot pt,No Spacing1,List Paragraph Char Char Char,Indicator Text"/>
    <w:basedOn w:val="Normal"/>
    <w:link w:val="PrrafodelistaCar"/>
    <w:uiPriority w:val="34"/>
    <w:qFormat/>
    <w:rsid w:val="00B4250A"/>
    <w:pPr>
      <w:spacing w:after="200" w:line="276" w:lineRule="auto"/>
      <w:ind w:left="708"/>
    </w:pPr>
    <w:rPr>
      <w:rFonts w:ascii="Calibri" w:hAnsi="Calibri"/>
      <w:sz w:val="22"/>
      <w:szCs w:val="22"/>
      <w:lang w:val="es-MX" w:eastAsia="en-US"/>
    </w:rPr>
  </w:style>
  <w:style w:type="character" w:customStyle="1" w:styleId="SinespaciadoCar">
    <w:name w:val="Sin espaciado Car"/>
    <w:link w:val="Sinespaciado"/>
    <w:uiPriority w:val="1"/>
    <w:locked/>
    <w:rsid w:val="00B4250A"/>
    <w:rPr>
      <w:rFonts w:ascii="Times New Roman" w:eastAsia="Times New Roman" w:hAnsi="Times New Roman" w:cs="Times New Roman"/>
      <w:sz w:val="24"/>
      <w:szCs w:val="24"/>
      <w:lang w:val="es-ES" w:eastAsia="es-ES"/>
    </w:rPr>
  </w:style>
  <w:style w:type="paragraph" w:customStyle="1" w:styleId="Default">
    <w:name w:val="Default"/>
    <w:rsid w:val="00B4250A"/>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4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link w:val="Textonotapie"/>
    <w:uiPriority w:val="99"/>
    <w:qFormat/>
    <w:rsid w:val="00B4250A"/>
    <w:rPr>
      <w:rFonts w:ascii="Times New Roman" w:eastAsia="Times New Roman" w:hAnsi="Times New Roman" w:cs="Times New Roman"/>
      <w:lang w:val="es-ES" w:eastAsia="es-ES"/>
    </w:rPr>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ﬂnotentext,Footnote Text Char Char"/>
    <w:basedOn w:val="Normal"/>
    <w:link w:val="TextonotapieCar"/>
    <w:uiPriority w:val="99"/>
    <w:qFormat/>
    <w:rsid w:val="00B4250A"/>
    <w:rPr>
      <w:sz w:val="22"/>
      <w:szCs w:val="22"/>
    </w:rPr>
  </w:style>
  <w:style w:type="character" w:customStyle="1" w:styleId="TextonotapieCar1">
    <w:name w:val="Texto nota pie Car1"/>
    <w:basedOn w:val="Fuentedeprrafopredeter"/>
    <w:uiPriority w:val="99"/>
    <w:semiHidden/>
    <w:rsid w:val="00B4250A"/>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julio,referencia nota al pie,BVI fnr,Footnote number,f,4_G,16 Point,Superscript 6 Point,Texto nota al pie,Footnote Reference Char3,Ref. de nota al"/>
    <w:link w:val="4GChar"/>
    <w:uiPriority w:val="99"/>
    <w:qFormat/>
    <w:rsid w:val="00B4250A"/>
    <w:rPr>
      <w:rFonts w:ascii="Calibri" w:eastAsia="Calibri" w:hAnsi="Calibri" w:cs="Times New Roman"/>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4250A"/>
    <w:pPr>
      <w:spacing w:after="160" w:line="259" w:lineRule="auto"/>
      <w:jc w:val="both"/>
    </w:pPr>
    <w:rPr>
      <w:rFonts w:ascii="Calibri" w:eastAsia="Calibri" w:hAnsi="Calibri"/>
      <w:sz w:val="22"/>
      <w:szCs w:val="22"/>
      <w:vertAlign w:val="superscript"/>
      <w:lang w:val="es-MX" w:eastAsia="en-US"/>
    </w:rPr>
  </w:style>
  <w:style w:type="character" w:styleId="Hipervnculo">
    <w:name w:val="Hyperlink"/>
    <w:basedOn w:val="Fuentedeprrafopredeter"/>
    <w:uiPriority w:val="99"/>
    <w:unhideWhenUsed/>
    <w:rsid w:val="00B4250A"/>
    <w:rPr>
      <w:color w:val="0000FF"/>
      <w:u w:val="single"/>
    </w:rPr>
  </w:style>
  <w:style w:type="paragraph" w:styleId="Encabezado">
    <w:name w:val="header"/>
    <w:basedOn w:val="Normal"/>
    <w:link w:val="EncabezadoCar"/>
    <w:uiPriority w:val="99"/>
    <w:unhideWhenUsed/>
    <w:rsid w:val="00F86C54"/>
    <w:pPr>
      <w:tabs>
        <w:tab w:val="center" w:pos="4419"/>
        <w:tab w:val="right" w:pos="8838"/>
      </w:tabs>
    </w:pPr>
  </w:style>
  <w:style w:type="character" w:customStyle="1" w:styleId="EncabezadoCar">
    <w:name w:val="Encabezado Car"/>
    <w:basedOn w:val="Fuentedeprrafopredeter"/>
    <w:link w:val="Encabezado"/>
    <w:uiPriority w:val="99"/>
    <w:rsid w:val="00F86C5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11/2018&amp;tpoBusqueda=S&amp;sWord=parida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gob.mx/IUSEapp/tesisjur.aspx?idtesis=11/2018&amp;tpoBusqueda=S&amp;sWord=paridad" TargetMode="External"/><Relationship Id="rId12" Type="http://schemas.openxmlformats.org/officeDocument/2006/relationships/hyperlink" Target="https://www.te.gob.mx/IUSEapp/tesisjur.aspx?idtesis=11/2018&amp;tpoBusqueda=S&amp;sWord=parid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gob.mx/IUSEapp/tesisjur.aspx?idtesis=11/2018&amp;tpoBusqueda=S&amp;sWord=parid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gob.mx/IUSEapp/tesisjur.aspx?idtesis=11/2018&amp;tpoBusqueda=S&amp;sWord=paridad" TargetMode="External"/><Relationship Id="rId4" Type="http://schemas.openxmlformats.org/officeDocument/2006/relationships/webSettings" Target="webSettings.xml"/><Relationship Id="rId9" Type="http://schemas.openxmlformats.org/officeDocument/2006/relationships/hyperlink" Target="https://www.te.gob.mx/IUSEapp/tesisjur.aspx?idtesis=11/2018&amp;tpoBusqueda=S&amp;sWord=parida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5802</Words>
  <Characters>31911</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dcterms:created xsi:type="dcterms:W3CDTF">2021-02-16T21:51:00Z</dcterms:created>
  <dcterms:modified xsi:type="dcterms:W3CDTF">2021-02-16T21:51:00Z</dcterms:modified>
</cp:coreProperties>
</file>